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D01E2" w14:textId="0971D632" w:rsidR="00B500D7" w:rsidRPr="00457B98" w:rsidRDefault="00B500D7" w:rsidP="00D56B46">
      <w:pPr>
        <w:pStyle w:val="Title"/>
        <w:rPr>
          <w:rFonts w:ascii="Times New Roman" w:eastAsia="Calibri" w:hAnsi="Times New Roman" w:cs="Times New Roman"/>
          <w:sz w:val="36"/>
          <w:szCs w:val="36"/>
        </w:rPr>
      </w:pPr>
      <w:r w:rsidRPr="00457B98">
        <w:rPr>
          <w:rFonts w:ascii="Times New Roman" w:hAnsi="Times New Roman" w:cs="Times New Roman"/>
          <w:sz w:val="36"/>
          <w:szCs w:val="36"/>
        </w:rPr>
        <w:t>National</w:t>
      </w:r>
      <w:r w:rsidR="00DD3BEC" w:rsidRPr="00457B98">
        <w:rPr>
          <w:rFonts w:ascii="Times New Roman" w:eastAsia="Calibri" w:hAnsi="Times New Roman" w:cs="Times New Roman"/>
          <w:sz w:val="36"/>
          <w:szCs w:val="36"/>
        </w:rPr>
        <w:t xml:space="preserve"> </w:t>
      </w:r>
      <w:r w:rsidRPr="00457B98">
        <w:rPr>
          <w:rFonts w:ascii="Times New Roman" w:eastAsia="Calibri" w:hAnsi="Times New Roman" w:cs="Times New Roman"/>
          <w:sz w:val="36"/>
          <w:szCs w:val="36"/>
        </w:rPr>
        <w:t>Park</w:t>
      </w:r>
      <w:r w:rsidR="00DD3BEC" w:rsidRPr="00457B98">
        <w:rPr>
          <w:rFonts w:ascii="Times New Roman" w:eastAsia="Calibri" w:hAnsi="Times New Roman" w:cs="Times New Roman"/>
          <w:sz w:val="36"/>
          <w:szCs w:val="36"/>
        </w:rPr>
        <w:t xml:space="preserve"> </w:t>
      </w:r>
      <w:r w:rsidRPr="00457B98">
        <w:rPr>
          <w:rFonts w:ascii="Times New Roman" w:eastAsia="Calibri" w:hAnsi="Times New Roman" w:cs="Times New Roman"/>
          <w:sz w:val="36"/>
          <w:szCs w:val="36"/>
        </w:rPr>
        <w:t>Service</w:t>
      </w:r>
      <w:r w:rsidR="00DD3BEC" w:rsidRPr="00457B98">
        <w:rPr>
          <w:rFonts w:ascii="Times New Roman" w:eastAsia="Calibri" w:hAnsi="Times New Roman" w:cs="Times New Roman"/>
          <w:sz w:val="36"/>
          <w:szCs w:val="36"/>
        </w:rPr>
        <w:t xml:space="preserve"> </w:t>
      </w:r>
      <w:r w:rsidRPr="00457B98">
        <w:rPr>
          <w:rFonts w:ascii="Times New Roman" w:eastAsia="Calibri" w:hAnsi="Times New Roman" w:cs="Times New Roman"/>
          <w:sz w:val="36"/>
          <w:szCs w:val="36"/>
        </w:rPr>
        <w:t>(NPS)</w:t>
      </w:r>
      <w:r w:rsidR="00DD3BEC" w:rsidRPr="00457B98">
        <w:rPr>
          <w:rFonts w:ascii="Times New Roman" w:eastAsia="Calibri" w:hAnsi="Times New Roman" w:cs="Times New Roman"/>
          <w:sz w:val="36"/>
          <w:szCs w:val="36"/>
        </w:rPr>
        <w:t xml:space="preserve"> </w:t>
      </w:r>
      <w:r w:rsidRPr="00457B98">
        <w:rPr>
          <w:rFonts w:ascii="Times New Roman" w:eastAsia="Calibri" w:hAnsi="Times New Roman" w:cs="Times New Roman"/>
          <w:sz w:val="36"/>
          <w:szCs w:val="36"/>
        </w:rPr>
        <w:t>Regional</w:t>
      </w:r>
      <w:r w:rsidR="00DD3BEC" w:rsidRPr="00457B98">
        <w:rPr>
          <w:rFonts w:ascii="Times New Roman" w:eastAsia="Calibri" w:hAnsi="Times New Roman" w:cs="Times New Roman"/>
          <w:sz w:val="36"/>
          <w:szCs w:val="36"/>
        </w:rPr>
        <w:t xml:space="preserve"> </w:t>
      </w:r>
      <w:r w:rsidRPr="00457B98">
        <w:rPr>
          <w:rFonts w:ascii="Times New Roman" w:eastAsia="Calibri" w:hAnsi="Times New Roman" w:cs="Times New Roman"/>
          <w:sz w:val="36"/>
          <w:szCs w:val="36"/>
        </w:rPr>
        <w:t>Haze</w:t>
      </w:r>
      <w:r w:rsidR="00DD3BEC" w:rsidRPr="00457B98">
        <w:rPr>
          <w:rFonts w:ascii="Times New Roman" w:eastAsia="Calibri" w:hAnsi="Times New Roman" w:cs="Times New Roman"/>
          <w:sz w:val="36"/>
          <w:szCs w:val="36"/>
        </w:rPr>
        <w:t xml:space="preserve"> </w:t>
      </w:r>
      <w:r w:rsidRPr="00457B98">
        <w:rPr>
          <w:rFonts w:ascii="Times New Roman" w:eastAsia="Calibri" w:hAnsi="Times New Roman" w:cs="Times New Roman"/>
          <w:sz w:val="36"/>
          <w:szCs w:val="36"/>
        </w:rPr>
        <w:t>SIP</w:t>
      </w:r>
      <w:r w:rsidR="00DD3BEC" w:rsidRPr="00457B98">
        <w:rPr>
          <w:rFonts w:ascii="Times New Roman" w:eastAsia="Calibri" w:hAnsi="Times New Roman" w:cs="Times New Roman"/>
          <w:sz w:val="36"/>
          <w:szCs w:val="36"/>
        </w:rPr>
        <w:t xml:space="preserve"> </w:t>
      </w:r>
      <w:r w:rsidR="00935FF3">
        <w:rPr>
          <w:rFonts w:ascii="Times New Roman" w:eastAsia="Calibri" w:hAnsi="Times New Roman" w:cs="Times New Roman"/>
          <w:sz w:val="36"/>
          <w:szCs w:val="36"/>
        </w:rPr>
        <w:t>technical feedback</w:t>
      </w:r>
      <w:r w:rsidR="00DD3BEC" w:rsidRPr="00457B98">
        <w:rPr>
          <w:rFonts w:ascii="Times New Roman" w:eastAsia="Calibri" w:hAnsi="Times New Roman" w:cs="Times New Roman"/>
          <w:sz w:val="36"/>
          <w:szCs w:val="36"/>
        </w:rPr>
        <w:t xml:space="preserve"> </w:t>
      </w:r>
      <w:r w:rsidRPr="00457B98">
        <w:rPr>
          <w:rFonts w:ascii="Times New Roman" w:eastAsia="Calibri" w:hAnsi="Times New Roman" w:cs="Times New Roman"/>
          <w:sz w:val="36"/>
          <w:szCs w:val="36"/>
        </w:rPr>
        <w:t>for</w:t>
      </w:r>
      <w:r w:rsidR="00DD3BEC" w:rsidRPr="00457B98">
        <w:rPr>
          <w:rFonts w:ascii="Times New Roman" w:eastAsia="Calibri" w:hAnsi="Times New Roman" w:cs="Times New Roman"/>
          <w:sz w:val="36"/>
          <w:szCs w:val="36"/>
        </w:rPr>
        <w:t xml:space="preserve"> </w:t>
      </w:r>
      <w:r w:rsidRPr="00457B98">
        <w:rPr>
          <w:rFonts w:ascii="Times New Roman" w:eastAsia="Calibri" w:hAnsi="Times New Roman" w:cs="Times New Roman"/>
          <w:sz w:val="36"/>
          <w:szCs w:val="36"/>
        </w:rPr>
        <w:t>the</w:t>
      </w:r>
      <w:r w:rsidR="00DD3BEC" w:rsidRPr="00457B98">
        <w:rPr>
          <w:rFonts w:ascii="Times New Roman" w:eastAsia="Calibri" w:hAnsi="Times New Roman" w:cs="Times New Roman"/>
          <w:sz w:val="36"/>
          <w:szCs w:val="36"/>
        </w:rPr>
        <w:t xml:space="preserve"> </w:t>
      </w:r>
      <w:bookmarkStart w:id="0" w:name="_Hlk109053961"/>
      <w:r w:rsidR="00BE1C1F" w:rsidRPr="00457B98">
        <w:rPr>
          <w:rFonts w:ascii="Times New Roman" w:eastAsia="Calibri" w:hAnsi="Times New Roman" w:cs="Times New Roman"/>
          <w:sz w:val="36"/>
          <w:szCs w:val="36"/>
        </w:rPr>
        <w:t>Nevada</w:t>
      </w:r>
      <w:r w:rsidR="00DD3BEC" w:rsidRPr="00457B98">
        <w:rPr>
          <w:rFonts w:ascii="Times New Roman" w:eastAsia="Calibri" w:hAnsi="Times New Roman" w:cs="Times New Roman"/>
          <w:sz w:val="36"/>
          <w:szCs w:val="36"/>
        </w:rPr>
        <w:t xml:space="preserve"> </w:t>
      </w:r>
      <w:r w:rsidRPr="00457B98">
        <w:rPr>
          <w:rFonts w:ascii="Times New Roman" w:eastAsia="Calibri" w:hAnsi="Times New Roman" w:cs="Times New Roman"/>
          <w:sz w:val="36"/>
          <w:szCs w:val="36"/>
        </w:rPr>
        <w:t>D</w:t>
      </w:r>
      <w:r w:rsidR="007D42CD" w:rsidRPr="00457B98">
        <w:rPr>
          <w:rFonts w:ascii="Times New Roman" w:eastAsia="Calibri" w:hAnsi="Times New Roman" w:cs="Times New Roman"/>
          <w:sz w:val="36"/>
          <w:szCs w:val="36"/>
        </w:rPr>
        <w:t>ivision</w:t>
      </w:r>
      <w:r w:rsidR="00DD3BEC" w:rsidRPr="00457B98">
        <w:rPr>
          <w:rFonts w:ascii="Times New Roman" w:eastAsia="Calibri" w:hAnsi="Times New Roman" w:cs="Times New Roman"/>
          <w:sz w:val="36"/>
          <w:szCs w:val="36"/>
        </w:rPr>
        <w:t xml:space="preserve"> </w:t>
      </w:r>
      <w:r w:rsidRPr="00457B98">
        <w:rPr>
          <w:rFonts w:ascii="Times New Roman" w:eastAsia="Calibri" w:hAnsi="Times New Roman" w:cs="Times New Roman"/>
          <w:sz w:val="36"/>
          <w:szCs w:val="36"/>
        </w:rPr>
        <w:t>of</w:t>
      </w:r>
      <w:r w:rsidR="00DD3BEC" w:rsidRPr="00457B98">
        <w:rPr>
          <w:rFonts w:ascii="Times New Roman" w:eastAsia="Calibri" w:hAnsi="Times New Roman" w:cs="Times New Roman"/>
          <w:sz w:val="36"/>
          <w:szCs w:val="36"/>
        </w:rPr>
        <w:t xml:space="preserve"> </w:t>
      </w:r>
      <w:r w:rsidR="00936C71" w:rsidRPr="00457B98">
        <w:rPr>
          <w:rFonts w:ascii="Times New Roman" w:eastAsia="Calibri" w:hAnsi="Times New Roman" w:cs="Times New Roman"/>
          <w:sz w:val="36"/>
          <w:szCs w:val="36"/>
        </w:rPr>
        <w:t>Environmental Protection</w:t>
      </w:r>
      <w:bookmarkEnd w:id="0"/>
    </w:p>
    <w:p w14:paraId="782DF8B1" w14:textId="62D75CEF" w:rsidR="00B500D7" w:rsidRPr="00457B98" w:rsidRDefault="0055209A" w:rsidP="00D56B46">
      <w:pPr>
        <w:pStyle w:val="Subtitle"/>
        <w:spacing w:line="240" w:lineRule="auto"/>
        <w:contextualSpacing/>
        <w:rPr>
          <w:rFonts w:eastAsia="Calibri" w:cs="Times New Roman"/>
        </w:rPr>
      </w:pPr>
      <w:r>
        <w:rPr>
          <w:rFonts w:eastAsia="Calibri" w:cs="Times New Roman"/>
        </w:rPr>
        <w:t xml:space="preserve">July </w:t>
      </w:r>
      <w:r w:rsidR="0054170B">
        <w:rPr>
          <w:rFonts w:eastAsia="Calibri" w:cs="Times New Roman"/>
        </w:rPr>
        <w:t>25</w:t>
      </w:r>
      <w:r>
        <w:rPr>
          <w:rFonts w:eastAsia="Calibri" w:cs="Times New Roman"/>
        </w:rPr>
        <w:t>, 2022</w:t>
      </w:r>
    </w:p>
    <w:p w14:paraId="2D3A94F9" w14:textId="6F81A9A0" w:rsidR="0005297B" w:rsidRPr="00457B98" w:rsidRDefault="0005297B" w:rsidP="00D56B46">
      <w:pPr>
        <w:pStyle w:val="Default"/>
        <w:contextualSpacing/>
      </w:pPr>
    </w:p>
    <w:p w14:paraId="1A3AC867" w14:textId="4D2706A8" w:rsidR="005C2FD4" w:rsidRPr="00457B98" w:rsidRDefault="0068405A" w:rsidP="00D56B46">
      <w:pPr>
        <w:pStyle w:val="Default"/>
        <w:tabs>
          <w:tab w:val="clear" w:pos="8531"/>
          <w:tab w:val="left" w:pos="1740"/>
        </w:tabs>
        <w:contextualSpacing/>
      </w:pPr>
      <w:r w:rsidRPr="00457B98">
        <w:rPr>
          <w:rStyle w:val="Strong"/>
        </w:rPr>
        <w:t>Contents</w:t>
      </w:r>
      <w:r w:rsidR="00957047" w:rsidRPr="00457B98">
        <w:rPr>
          <w:rStyle w:val="Strong"/>
        </w:rPr>
        <w:tab/>
      </w:r>
    </w:p>
    <w:p w14:paraId="5FBD3285" w14:textId="3F34E9EA" w:rsidR="00D3510E" w:rsidRDefault="00FD1DC7">
      <w:pPr>
        <w:pStyle w:val="TOC1"/>
        <w:rPr>
          <w:rFonts w:eastAsiaTheme="minorEastAsia"/>
          <w:noProof/>
        </w:rPr>
      </w:pPr>
      <w:r w:rsidRPr="00457B98">
        <w:rPr>
          <w:rFonts w:ascii="Times New Roman" w:hAnsi="Times New Roman" w:cs="Times New Roman"/>
        </w:rPr>
        <w:fldChar w:fldCharType="begin"/>
      </w:r>
      <w:r w:rsidRPr="00457B98">
        <w:rPr>
          <w:rFonts w:ascii="Times New Roman" w:hAnsi="Times New Roman" w:cs="Times New Roman"/>
        </w:rPr>
        <w:instrText xml:space="preserve"> TOC \o "1-2" \h \z \u </w:instrText>
      </w:r>
      <w:r w:rsidRPr="00457B98">
        <w:rPr>
          <w:rFonts w:ascii="Times New Roman" w:hAnsi="Times New Roman" w:cs="Times New Roman"/>
        </w:rPr>
        <w:fldChar w:fldCharType="separate"/>
      </w:r>
      <w:hyperlink w:anchor="_Toc109058116" w:history="1">
        <w:r w:rsidR="00D3510E" w:rsidRPr="0012135E">
          <w:rPr>
            <w:rStyle w:val="Hyperlink"/>
            <w:noProof/>
          </w:rPr>
          <w:t>1</w:t>
        </w:r>
        <w:r w:rsidR="00D3510E">
          <w:rPr>
            <w:rFonts w:eastAsiaTheme="minorEastAsia"/>
            <w:noProof/>
          </w:rPr>
          <w:tab/>
        </w:r>
        <w:r w:rsidR="00D3510E" w:rsidRPr="0012135E">
          <w:rPr>
            <w:rStyle w:val="Hyperlink"/>
            <w:noProof/>
          </w:rPr>
          <w:t>Executive Summary</w:t>
        </w:r>
        <w:r w:rsidR="00D3510E">
          <w:rPr>
            <w:noProof/>
            <w:webHidden/>
          </w:rPr>
          <w:tab/>
        </w:r>
        <w:r w:rsidR="00D3510E">
          <w:rPr>
            <w:noProof/>
            <w:webHidden/>
          </w:rPr>
          <w:fldChar w:fldCharType="begin"/>
        </w:r>
        <w:r w:rsidR="00D3510E">
          <w:rPr>
            <w:noProof/>
            <w:webHidden/>
          </w:rPr>
          <w:instrText xml:space="preserve"> PAGEREF _Toc109058116 \h </w:instrText>
        </w:r>
        <w:r w:rsidR="00D3510E">
          <w:rPr>
            <w:noProof/>
            <w:webHidden/>
          </w:rPr>
        </w:r>
        <w:r w:rsidR="00D3510E">
          <w:rPr>
            <w:noProof/>
            <w:webHidden/>
          </w:rPr>
          <w:fldChar w:fldCharType="separate"/>
        </w:r>
        <w:r w:rsidR="00D3510E">
          <w:rPr>
            <w:noProof/>
            <w:webHidden/>
          </w:rPr>
          <w:t>2</w:t>
        </w:r>
        <w:r w:rsidR="00D3510E">
          <w:rPr>
            <w:noProof/>
            <w:webHidden/>
          </w:rPr>
          <w:fldChar w:fldCharType="end"/>
        </w:r>
      </w:hyperlink>
    </w:p>
    <w:p w14:paraId="7847F05B" w14:textId="31F1311E" w:rsidR="00D3510E" w:rsidRDefault="000E15A6">
      <w:pPr>
        <w:pStyle w:val="TOC1"/>
        <w:rPr>
          <w:rFonts w:eastAsiaTheme="minorEastAsia"/>
          <w:noProof/>
        </w:rPr>
      </w:pPr>
      <w:hyperlink w:anchor="_Toc109058117" w:history="1">
        <w:r w:rsidR="00D3510E" w:rsidRPr="0012135E">
          <w:rPr>
            <w:rStyle w:val="Hyperlink"/>
            <w:noProof/>
          </w:rPr>
          <w:t>2</w:t>
        </w:r>
        <w:r w:rsidR="00D3510E">
          <w:rPr>
            <w:rFonts w:eastAsiaTheme="minorEastAsia"/>
            <w:noProof/>
          </w:rPr>
          <w:tab/>
        </w:r>
        <w:r w:rsidR="00D3510E" w:rsidRPr="0012135E">
          <w:rPr>
            <w:rStyle w:val="Hyperlink"/>
            <w:noProof/>
          </w:rPr>
          <w:t>Updated Review: Nevada Energy – North Valmy Generating Station</w:t>
        </w:r>
        <w:r w:rsidR="00D3510E">
          <w:rPr>
            <w:noProof/>
            <w:webHidden/>
          </w:rPr>
          <w:tab/>
        </w:r>
        <w:r w:rsidR="00D3510E">
          <w:rPr>
            <w:noProof/>
            <w:webHidden/>
          </w:rPr>
          <w:fldChar w:fldCharType="begin"/>
        </w:r>
        <w:r w:rsidR="00D3510E">
          <w:rPr>
            <w:noProof/>
            <w:webHidden/>
          </w:rPr>
          <w:instrText xml:space="preserve"> PAGEREF _Toc109058117 \h </w:instrText>
        </w:r>
        <w:r w:rsidR="00D3510E">
          <w:rPr>
            <w:noProof/>
            <w:webHidden/>
          </w:rPr>
        </w:r>
        <w:r w:rsidR="00D3510E">
          <w:rPr>
            <w:noProof/>
            <w:webHidden/>
          </w:rPr>
          <w:fldChar w:fldCharType="separate"/>
        </w:r>
        <w:r w:rsidR="00D3510E">
          <w:rPr>
            <w:noProof/>
            <w:webHidden/>
          </w:rPr>
          <w:t>2</w:t>
        </w:r>
        <w:r w:rsidR="00D3510E">
          <w:rPr>
            <w:noProof/>
            <w:webHidden/>
          </w:rPr>
          <w:fldChar w:fldCharType="end"/>
        </w:r>
      </w:hyperlink>
    </w:p>
    <w:p w14:paraId="7ADCC8C5" w14:textId="7D467645" w:rsidR="00D3510E" w:rsidRDefault="000E15A6">
      <w:pPr>
        <w:pStyle w:val="TOC2"/>
        <w:tabs>
          <w:tab w:val="left" w:pos="880"/>
          <w:tab w:val="right" w:leader="dot" w:pos="9350"/>
        </w:tabs>
        <w:rPr>
          <w:rFonts w:eastAsiaTheme="minorEastAsia"/>
          <w:noProof/>
        </w:rPr>
      </w:pPr>
      <w:hyperlink w:anchor="_Toc109058118" w:history="1">
        <w:r w:rsidR="00D3510E" w:rsidRPr="0012135E">
          <w:rPr>
            <w:rStyle w:val="Hyperlink"/>
            <w:noProof/>
          </w:rPr>
          <w:t>2.1</w:t>
        </w:r>
        <w:r w:rsidR="00D3510E">
          <w:rPr>
            <w:rFonts w:eastAsiaTheme="minorEastAsia"/>
            <w:noProof/>
          </w:rPr>
          <w:tab/>
        </w:r>
        <w:r w:rsidR="00D3510E" w:rsidRPr="0012135E">
          <w:rPr>
            <w:rStyle w:val="Hyperlink"/>
            <w:noProof/>
          </w:rPr>
          <w:t>Plant Characteristics</w:t>
        </w:r>
        <w:r w:rsidR="00D3510E">
          <w:rPr>
            <w:noProof/>
            <w:webHidden/>
          </w:rPr>
          <w:tab/>
        </w:r>
        <w:r w:rsidR="00D3510E">
          <w:rPr>
            <w:noProof/>
            <w:webHidden/>
          </w:rPr>
          <w:fldChar w:fldCharType="begin"/>
        </w:r>
        <w:r w:rsidR="00D3510E">
          <w:rPr>
            <w:noProof/>
            <w:webHidden/>
          </w:rPr>
          <w:instrText xml:space="preserve"> PAGEREF _Toc109058118 \h </w:instrText>
        </w:r>
        <w:r w:rsidR="00D3510E">
          <w:rPr>
            <w:noProof/>
            <w:webHidden/>
          </w:rPr>
        </w:r>
        <w:r w:rsidR="00D3510E">
          <w:rPr>
            <w:noProof/>
            <w:webHidden/>
          </w:rPr>
          <w:fldChar w:fldCharType="separate"/>
        </w:r>
        <w:r w:rsidR="00D3510E">
          <w:rPr>
            <w:noProof/>
            <w:webHidden/>
          </w:rPr>
          <w:t>2</w:t>
        </w:r>
        <w:r w:rsidR="00D3510E">
          <w:rPr>
            <w:noProof/>
            <w:webHidden/>
          </w:rPr>
          <w:fldChar w:fldCharType="end"/>
        </w:r>
      </w:hyperlink>
    </w:p>
    <w:p w14:paraId="030F1532" w14:textId="0F7ADE53" w:rsidR="00D3510E" w:rsidRDefault="000E15A6">
      <w:pPr>
        <w:pStyle w:val="TOC2"/>
        <w:tabs>
          <w:tab w:val="left" w:pos="880"/>
          <w:tab w:val="right" w:leader="dot" w:pos="9350"/>
        </w:tabs>
        <w:rPr>
          <w:rFonts w:eastAsiaTheme="minorEastAsia"/>
          <w:noProof/>
        </w:rPr>
      </w:pPr>
      <w:hyperlink w:anchor="_Toc109058119" w:history="1">
        <w:r w:rsidR="00D3510E" w:rsidRPr="0012135E">
          <w:rPr>
            <w:rStyle w:val="Hyperlink"/>
            <w:noProof/>
          </w:rPr>
          <w:t>2.2</w:t>
        </w:r>
        <w:r w:rsidR="00D3510E">
          <w:rPr>
            <w:rFonts w:eastAsiaTheme="minorEastAsia"/>
            <w:noProof/>
          </w:rPr>
          <w:tab/>
        </w:r>
        <w:r w:rsidR="00D3510E" w:rsidRPr="0012135E">
          <w:rPr>
            <w:rStyle w:val="Hyperlink"/>
            <w:noProof/>
          </w:rPr>
          <w:t>Recent Emissions</w:t>
        </w:r>
        <w:r w:rsidR="00D3510E">
          <w:rPr>
            <w:noProof/>
            <w:webHidden/>
          </w:rPr>
          <w:tab/>
        </w:r>
        <w:r w:rsidR="00D3510E">
          <w:rPr>
            <w:noProof/>
            <w:webHidden/>
          </w:rPr>
          <w:fldChar w:fldCharType="begin"/>
        </w:r>
        <w:r w:rsidR="00D3510E">
          <w:rPr>
            <w:noProof/>
            <w:webHidden/>
          </w:rPr>
          <w:instrText xml:space="preserve"> PAGEREF _Toc109058119 \h </w:instrText>
        </w:r>
        <w:r w:rsidR="00D3510E">
          <w:rPr>
            <w:noProof/>
            <w:webHidden/>
          </w:rPr>
        </w:r>
        <w:r w:rsidR="00D3510E">
          <w:rPr>
            <w:noProof/>
            <w:webHidden/>
          </w:rPr>
          <w:fldChar w:fldCharType="separate"/>
        </w:r>
        <w:r w:rsidR="00D3510E">
          <w:rPr>
            <w:noProof/>
            <w:webHidden/>
          </w:rPr>
          <w:t>3</w:t>
        </w:r>
        <w:r w:rsidR="00D3510E">
          <w:rPr>
            <w:noProof/>
            <w:webHidden/>
          </w:rPr>
          <w:fldChar w:fldCharType="end"/>
        </w:r>
      </w:hyperlink>
    </w:p>
    <w:p w14:paraId="74ACDABB" w14:textId="2BA09A29" w:rsidR="00D3510E" w:rsidRDefault="000E15A6">
      <w:pPr>
        <w:pStyle w:val="TOC2"/>
        <w:tabs>
          <w:tab w:val="left" w:pos="880"/>
          <w:tab w:val="right" w:leader="dot" w:pos="9350"/>
        </w:tabs>
        <w:rPr>
          <w:rFonts w:eastAsiaTheme="minorEastAsia"/>
          <w:noProof/>
        </w:rPr>
      </w:pPr>
      <w:hyperlink w:anchor="_Toc109058120" w:history="1">
        <w:r w:rsidR="00D3510E" w:rsidRPr="0012135E">
          <w:rPr>
            <w:rStyle w:val="Hyperlink"/>
            <w:noProof/>
          </w:rPr>
          <w:t>2.3</w:t>
        </w:r>
        <w:r w:rsidR="00D3510E">
          <w:rPr>
            <w:rFonts w:eastAsiaTheme="minorEastAsia"/>
            <w:noProof/>
          </w:rPr>
          <w:tab/>
        </w:r>
        <w:r w:rsidR="00D3510E" w:rsidRPr="0012135E">
          <w:rPr>
            <w:rStyle w:val="Hyperlink"/>
            <w:noProof/>
          </w:rPr>
          <w:t>Evaluation of the Clean Air Act Statutory Factors at North Valmy</w:t>
        </w:r>
        <w:r w:rsidR="00D3510E">
          <w:rPr>
            <w:noProof/>
            <w:webHidden/>
          </w:rPr>
          <w:tab/>
        </w:r>
        <w:r w:rsidR="00D3510E">
          <w:rPr>
            <w:noProof/>
            <w:webHidden/>
          </w:rPr>
          <w:fldChar w:fldCharType="begin"/>
        </w:r>
        <w:r w:rsidR="00D3510E">
          <w:rPr>
            <w:noProof/>
            <w:webHidden/>
          </w:rPr>
          <w:instrText xml:space="preserve"> PAGEREF _Toc109058120 \h </w:instrText>
        </w:r>
        <w:r w:rsidR="00D3510E">
          <w:rPr>
            <w:noProof/>
            <w:webHidden/>
          </w:rPr>
        </w:r>
        <w:r w:rsidR="00D3510E">
          <w:rPr>
            <w:noProof/>
            <w:webHidden/>
          </w:rPr>
          <w:fldChar w:fldCharType="separate"/>
        </w:r>
        <w:r w:rsidR="00D3510E">
          <w:rPr>
            <w:noProof/>
            <w:webHidden/>
          </w:rPr>
          <w:t>3</w:t>
        </w:r>
        <w:r w:rsidR="00D3510E">
          <w:rPr>
            <w:noProof/>
            <w:webHidden/>
          </w:rPr>
          <w:fldChar w:fldCharType="end"/>
        </w:r>
      </w:hyperlink>
    </w:p>
    <w:p w14:paraId="26502149" w14:textId="439F8C72" w:rsidR="00D3510E" w:rsidRDefault="000E15A6">
      <w:pPr>
        <w:pStyle w:val="TOC2"/>
        <w:tabs>
          <w:tab w:val="left" w:pos="880"/>
          <w:tab w:val="right" w:leader="dot" w:pos="9350"/>
        </w:tabs>
        <w:rPr>
          <w:rFonts w:eastAsiaTheme="minorEastAsia"/>
          <w:noProof/>
        </w:rPr>
      </w:pPr>
      <w:hyperlink w:anchor="_Toc109058121" w:history="1">
        <w:r w:rsidR="00D3510E" w:rsidRPr="0012135E">
          <w:rPr>
            <w:rStyle w:val="Hyperlink"/>
            <w:noProof/>
          </w:rPr>
          <w:t>2.4</w:t>
        </w:r>
        <w:r w:rsidR="00D3510E">
          <w:rPr>
            <w:rFonts w:eastAsiaTheme="minorEastAsia"/>
            <w:noProof/>
          </w:rPr>
          <w:tab/>
        </w:r>
        <w:r w:rsidR="00D3510E" w:rsidRPr="0012135E">
          <w:rPr>
            <w:rStyle w:val="Hyperlink"/>
            <w:noProof/>
          </w:rPr>
          <w:t>SO</w:t>
        </w:r>
        <w:r w:rsidR="00D3510E" w:rsidRPr="0012135E">
          <w:rPr>
            <w:rStyle w:val="Hyperlink"/>
            <w:noProof/>
            <w:vertAlign w:val="subscript"/>
          </w:rPr>
          <w:t>2</w:t>
        </w:r>
        <w:r w:rsidR="00D3510E" w:rsidRPr="0012135E">
          <w:rPr>
            <w:rStyle w:val="Hyperlink"/>
            <w:noProof/>
          </w:rPr>
          <w:t xml:space="preserve"> – Cost of Compliance</w:t>
        </w:r>
        <w:r w:rsidR="00D3510E">
          <w:rPr>
            <w:noProof/>
            <w:webHidden/>
          </w:rPr>
          <w:tab/>
        </w:r>
        <w:r w:rsidR="00D3510E">
          <w:rPr>
            <w:noProof/>
            <w:webHidden/>
          </w:rPr>
          <w:fldChar w:fldCharType="begin"/>
        </w:r>
        <w:r w:rsidR="00D3510E">
          <w:rPr>
            <w:noProof/>
            <w:webHidden/>
          </w:rPr>
          <w:instrText xml:space="preserve"> PAGEREF _Toc109058121 \h </w:instrText>
        </w:r>
        <w:r w:rsidR="00D3510E">
          <w:rPr>
            <w:noProof/>
            <w:webHidden/>
          </w:rPr>
        </w:r>
        <w:r w:rsidR="00D3510E">
          <w:rPr>
            <w:noProof/>
            <w:webHidden/>
          </w:rPr>
          <w:fldChar w:fldCharType="separate"/>
        </w:r>
        <w:r w:rsidR="00D3510E">
          <w:rPr>
            <w:noProof/>
            <w:webHidden/>
          </w:rPr>
          <w:t>3</w:t>
        </w:r>
        <w:r w:rsidR="00D3510E">
          <w:rPr>
            <w:noProof/>
            <w:webHidden/>
          </w:rPr>
          <w:fldChar w:fldCharType="end"/>
        </w:r>
      </w:hyperlink>
    </w:p>
    <w:p w14:paraId="6B19C6E8" w14:textId="123320B8" w:rsidR="00D3510E" w:rsidRDefault="000E15A6">
      <w:pPr>
        <w:pStyle w:val="TOC2"/>
        <w:tabs>
          <w:tab w:val="left" w:pos="880"/>
          <w:tab w:val="right" w:leader="dot" w:pos="9350"/>
        </w:tabs>
        <w:rPr>
          <w:rFonts w:eastAsiaTheme="minorEastAsia"/>
          <w:noProof/>
        </w:rPr>
      </w:pPr>
      <w:hyperlink w:anchor="_Toc109058122" w:history="1">
        <w:r w:rsidR="00D3510E" w:rsidRPr="0012135E">
          <w:rPr>
            <w:rStyle w:val="Hyperlink"/>
            <w:noProof/>
          </w:rPr>
          <w:t>2.5</w:t>
        </w:r>
        <w:r w:rsidR="00D3510E">
          <w:rPr>
            <w:rFonts w:eastAsiaTheme="minorEastAsia"/>
            <w:noProof/>
          </w:rPr>
          <w:tab/>
        </w:r>
        <w:r w:rsidR="00D3510E" w:rsidRPr="0012135E">
          <w:rPr>
            <w:rStyle w:val="Hyperlink"/>
            <w:noProof/>
          </w:rPr>
          <w:t>NO</w:t>
        </w:r>
        <w:r w:rsidR="00D3510E" w:rsidRPr="0012135E">
          <w:rPr>
            <w:rStyle w:val="Hyperlink"/>
            <w:noProof/>
            <w:vertAlign w:val="subscript"/>
          </w:rPr>
          <w:t>x</w:t>
        </w:r>
        <w:r w:rsidR="00D3510E" w:rsidRPr="0012135E">
          <w:rPr>
            <w:rStyle w:val="Hyperlink"/>
            <w:noProof/>
          </w:rPr>
          <w:t xml:space="preserve"> – Cost of Compliance</w:t>
        </w:r>
        <w:r w:rsidR="00D3510E">
          <w:rPr>
            <w:noProof/>
            <w:webHidden/>
          </w:rPr>
          <w:tab/>
        </w:r>
        <w:r w:rsidR="00D3510E">
          <w:rPr>
            <w:noProof/>
            <w:webHidden/>
          </w:rPr>
          <w:fldChar w:fldCharType="begin"/>
        </w:r>
        <w:r w:rsidR="00D3510E">
          <w:rPr>
            <w:noProof/>
            <w:webHidden/>
          </w:rPr>
          <w:instrText xml:space="preserve"> PAGEREF _Toc109058122 \h </w:instrText>
        </w:r>
        <w:r w:rsidR="00D3510E">
          <w:rPr>
            <w:noProof/>
            <w:webHidden/>
          </w:rPr>
        </w:r>
        <w:r w:rsidR="00D3510E">
          <w:rPr>
            <w:noProof/>
            <w:webHidden/>
          </w:rPr>
          <w:fldChar w:fldCharType="separate"/>
        </w:r>
        <w:r w:rsidR="00D3510E">
          <w:rPr>
            <w:noProof/>
            <w:webHidden/>
          </w:rPr>
          <w:t>8</w:t>
        </w:r>
        <w:r w:rsidR="00D3510E">
          <w:rPr>
            <w:noProof/>
            <w:webHidden/>
          </w:rPr>
          <w:fldChar w:fldCharType="end"/>
        </w:r>
      </w:hyperlink>
    </w:p>
    <w:p w14:paraId="56F0A6DE" w14:textId="44833C92" w:rsidR="00D3510E" w:rsidRDefault="000E15A6">
      <w:pPr>
        <w:pStyle w:val="TOC2"/>
        <w:tabs>
          <w:tab w:val="left" w:pos="880"/>
          <w:tab w:val="right" w:leader="dot" w:pos="9350"/>
        </w:tabs>
        <w:rPr>
          <w:rFonts w:eastAsiaTheme="minorEastAsia"/>
          <w:noProof/>
        </w:rPr>
      </w:pPr>
      <w:hyperlink w:anchor="_Toc109058123" w:history="1">
        <w:r w:rsidR="00D3510E" w:rsidRPr="0012135E">
          <w:rPr>
            <w:rStyle w:val="Hyperlink"/>
            <w:noProof/>
          </w:rPr>
          <w:t>2.6</w:t>
        </w:r>
        <w:r w:rsidR="00D3510E">
          <w:rPr>
            <w:rFonts w:eastAsiaTheme="minorEastAsia"/>
            <w:noProof/>
          </w:rPr>
          <w:tab/>
        </w:r>
        <w:r w:rsidR="00D3510E" w:rsidRPr="0012135E">
          <w:rPr>
            <w:rStyle w:val="Hyperlink"/>
            <w:noProof/>
          </w:rPr>
          <w:t>Conclusions &amp; Recommendations</w:t>
        </w:r>
        <w:r w:rsidR="00D3510E">
          <w:rPr>
            <w:noProof/>
            <w:webHidden/>
          </w:rPr>
          <w:tab/>
        </w:r>
        <w:r w:rsidR="00D3510E">
          <w:rPr>
            <w:noProof/>
            <w:webHidden/>
          </w:rPr>
          <w:fldChar w:fldCharType="begin"/>
        </w:r>
        <w:r w:rsidR="00D3510E">
          <w:rPr>
            <w:noProof/>
            <w:webHidden/>
          </w:rPr>
          <w:instrText xml:space="preserve"> PAGEREF _Toc109058123 \h </w:instrText>
        </w:r>
        <w:r w:rsidR="00D3510E">
          <w:rPr>
            <w:noProof/>
            <w:webHidden/>
          </w:rPr>
        </w:r>
        <w:r w:rsidR="00D3510E">
          <w:rPr>
            <w:noProof/>
            <w:webHidden/>
          </w:rPr>
          <w:fldChar w:fldCharType="separate"/>
        </w:r>
        <w:r w:rsidR="00D3510E">
          <w:rPr>
            <w:noProof/>
            <w:webHidden/>
          </w:rPr>
          <w:t>8</w:t>
        </w:r>
        <w:r w:rsidR="00D3510E">
          <w:rPr>
            <w:noProof/>
            <w:webHidden/>
          </w:rPr>
          <w:fldChar w:fldCharType="end"/>
        </w:r>
      </w:hyperlink>
    </w:p>
    <w:p w14:paraId="565D8DDE" w14:textId="693E84C3" w:rsidR="005C2FD4" w:rsidRPr="00457B98" w:rsidRDefault="00FD1DC7" w:rsidP="00D56B46">
      <w:pPr>
        <w:pStyle w:val="Default"/>
        <w:tabs>
          <w:tab w:val="clear" w:pos="8531"/>
          <w:tab w:val="center" w:pos="4680"/>
        </w:tabs>
        <w:contextualSpacing/>
      </w:pPr>
      <w:r w:rsidRPr="00457B98">
        <w:rPr>
          <w:sz w:val="22"/>
          <w:szCs w:val="22"/>
        </w:rPr>
        <w:fldChar w:fldCharType="end"/>
      </w:r>
      <w:r w:rsidR="001D29D5" w:rsidRPr="00457B98">
        <w:rPr>
          <w:sz w:val="22"/>
          <w:szCs w:val="22"/>
        </w:rPr>
        <w:tab/>
      </w:r>
    </w:p>
    <w:p w14:paraId="69FD6442" w14:textId="77777777" w:rsidR="005C2FD4" w:rsidRPr="00457B98" w:rsidRDefault="005C2FD4" w:rsidP="00D56B46">
      <w:pPr>
        <w:pStyle w:val="Default"/>
        <w:contextualSpacing/>
      </w:pPr>
    </w:p>
    <w:p w14:paraId="3591F5FA" w14:textId="77777777" w:rsidR="0068405A" w:rsidRPr="00457B98" w:rsidRDefault="0068405A" w:rsidP="00D56B46">
      <w:pPr>
        <w:contextualSpacing/>
        <w:rPr>
          <w:color w:val="2F5496" w:themeColor="accent1" w:themeShade="BF"/>
          <w:sz w:val="32"/>
          <w:szCs w:val="32"/>
        </w:rPr>
      </w:pPr>
      <w:r w:rsidRPr="00457B98">
        <w:br w:type="page"/>
      </w:r>
    </w:p>
    <w:p w14:paraId="40BFB6EE" w14:textId="6A179357" w:rsidR="00D6102A" w:rsidRDefault="00D6102A" w:rsidP="005D62A8">
      <w:pPr>
        <w:pStyle w:val="Heading1"/>
      </w:pPr>
      <w:bookmarkStart w:id="1" w:name="_Toc88140048"/>
      <w:bookmarkStart w:id="2" w:name="_Toc88140077"/>
      <w:bookmarkStart w:id="3" w:name="_Toc88140050"/>
      <w:bookmarkStart w:id="4" w:name="_Toc88140079"/>
      <w:bookmarkStart w:id="5" w:name="_Toc88140052"/>
      <w:bookmarkStart w:id="6" w:name="_Toc88140081"/>
      <w:bookmarkStart w:id="7" w:name="_Toc88140049"/>
      <w:bookmarkStart w:id="8" w:name="_Toc88140078"/>
      <w:bookmarkStart w:id="9" w:name="_Toc88140051"/>
      <w:bookmarkStart w:id="10" w:name="_Toc88140080"/>
      <w:bookmarkStart w:id="11" w:name="_Toc109058116"/>
      <w:bookmarkEnd w:id="1"/>
      <w:bookmarkEnd w:id="2"/>
      <w:bookmarkEnd w:id="3"/>
      <w:bookmarkEnd w:id="4"/>
      <w:bookmarkEnd w:id="5"/>
      <w:bookmarkEnd w:id="6"/>
      <w:bookmarkEnd w:id="7"/>
      <w:bookmarkEnd w:id="8"/>
      <w:bookmarkEnd w:id="9"/>
      <w:bookmarkEnd w:id="10"/>
      <w:r>
        <w:lastRenderedPageBreak/>
        <w:t>Executive Summary</w:t>
      </w:r>
      <w:bookmarkEnd w:id="11"/>
    </w:p>
    <w:p w14:paraId="203E9A34" w14:textId="1B9E5005" w:rsidR="00C246E0" w:rsidRDefault="00933DEA" w:rsidP="00D6102A">
      <w:r>
        <w:t>The NPS</w:t>
      </w:r>
      <w:r w:rsidR="0047401E">
        <w:t xml:space="preserve"> appreciates the updated analyses provided by </w:t>
      </w:r>
      <w:r w:rsidR="00B3097B">
        <w:t xml:space="preserve">the </w:t>
      </w:r>
      <w:r w:rsidR="00B3097B" w:rsidRPr="00B3097B">
        <w:t>Nevada Division of Environmental Protection</w:t>
      </w:r>
      <w:r w:rsidR="00B3097B">
        <w:t xml:space="preserve"> (</w:t>
      </w:r>
      <w:r w:rsidR="0047401E">
        <w:t>NDEP</w:t>
      </w:r>
      <w:r w:rsidR="00B3097B">
        <w:t>)</w:t>
      </w:r>
      <w:r w:rsidR="0047401E">
        <w:t xml:space="preserve"> and Nevada Energy in response to NPS consultation </w:t>
      </w:r>
      <w:r w:rsidR="00F42D87">
        <w:t>comment</w:t>
      </w:r>
      <w:r w:rsidR="00E21404">
        <w:t xml:space="preserve">s as part of the public review </w:t>
      </w:r>
      <w:r w:rsidR="001E0738">
        <w:t>State Implementation Plan (</w:t>
      </w:r>
      <w:r w:rsidR="00E21404">
        <w:t>SIP</w:t>
      </w:r>
      <w:r w:rsidR="001E0738">
        <w:t>)</w:t>
      </w:r>
      <w:r w:rsidR="00863ED9">
        <w:t xml:space="preserve">.  </w:t>
      </w:r>
      <w:r w:rsidR="001C5BBC" w:rsidRPr="001C5BBC">
        <w:t xml:space="preserve">In the </w:t>
      </w:r>
      <w:r w:rsidR="00E21404">
        <w:t>current draft</w:t>
      </w:r>
      <w:r w:rsidR="001C5BBC" w:rsidRPr="001C5BBC">
        <w:t xml:space="preserve"> SIP</w:t>
      </w:r>
      <w:r w:rsidR="001E0738">
        <w:t>,</w:t>
      </w:r>
      <w:r w:rsidR="001C5BBC" w:rsidRPr="001C5BBC">
        <w:t xml:space="preserve"> NDEP provides supplementary information regarding Nevada Energy’s North Valmy Generating Station</w:t>
      </w:r>
      <w:r w:rsidR="00863ED9">
        <w:t xml:space="preserve">.  </w:t>
      </w:r>
      <w:r w:rsidR="001C5BBC" w:rsidRPr="001C5BBC">
        <w:t>Based on this</w:t>
      </w:r>
      <w:r w:rsidR="00C246E0">
        <w:t xml:space="preserve"> </w:t>
      </w:r>
      <w:r w:rsidR="00E33528">
        <w:t xml:space="preserve">new information </w:t>
      </w:r>
      <w:r>
        <w:t>The NPS</w:t>
      </w:r>
      <w:r w:rsidR="001C5BBC" w:rsidRPr="001C5BBC">
        <w:t xml:space="preserve"> support</w:t>
      </w:r>
      <w:r w:rsidR="00C246E0">
        <w:t>s</w:t>
      </w:r>
      <w:r w:rsidR="001C5BBC" w:rsidRPr="001C5BBC">
        <w:t xml:space="preserve"> NDEP’s determination</w:t>
      </w:r>
      <w:r w:rsidR="00C246E0">
        <w:t>s</w:t>
      </w:r>
      <w:r w:rsidR="001C5BBC" w:rsidRPr="001C5BBC">
        <w:t xml:space="preserve"> that</w:t>
      </w:r>
      <w:r w:rsidR="00C246E0">
        <w:t>:</w:t>
      </w:r>
    </w:p>
    <w:p w14:paraId="01A9F10E" w14:textId="23708ED5" w:rsidR="00C246E0" w:rsidRDefault="004345F5" w:rsidP="00F338F8">
      <w:pPr>
        <w:pStyle w:val="ListParagraph"/>
        <w:numPr>
          <w:ilvl w:val="0"/>
          <w:numId w:val="35"/>
        </w:numPr>
      </w:pPr>
      <w:r>
        <w:t>A</w:t>
      </w:r>
      <w:r w:rsidR="001C5BBC" w:rsidRPr="001C5BBC">
        <w:t>dditional nitrogen oxide</w:t>
      </w:r>
      <w:r>
        <w:t xml:space="preserve"> </w:t>
      </w:r>
      <w:r w:rsidR="008D6E04">
        <w:t>(</w:t>
      </w:r>
      <w:r>
        <w:t>NO</w:t>
      </w:r>
      <w:r w:rsidRPr="00F338F8">
        <w:rPr>
          <w:vertAlign w:val="subscript"/>
        </w:rPr>
        <w:t>x</w:t>
      </w:r>
      <w:r w:rsidR="008D6E04">
        <w:t xml:space="preserve">) </w:t>
      </w:r>
      <w:r w:rsidR="001C5BBC" w:rsidRPr="001C5BBC">
        <w:t xml:space="preserve">and sulfur dioxide </w:t>
      </w:r>
      <w:r w:rsidR="008D6E04">
        <w:t>(SO</w:t>
      </w:r>
      <w:r w:rsidR="008D6E04" w:rsidRPr="00F338F8">
        <w:rPr>
          <w:vertAlign w:val="subscript"/>
        </w:rPr>
        <w:t>2</w:t>
      </w:r>
      <w:r w:rsidR="008D6E04">
        <w:t xml:space="preserve">) </w:t>
      </w:r>
      <w:r w:rsidR="001C5BBC" w:rsidRPr="001C5BBC">
        <w:t>emission controls are not reasonable for North Valmy Unit 2</w:t>
      </w:r>
      <w:r w:rsidR="00863ED9">
        <w:t xml:space="preserve">.  </w:t>
      </w:r>
    </w:p>
    <w:p w14:paraId="318C62CE" w14:textId="30245201" w:rsidR="00340E1D" w:rsidRDefault="00481506" w:rsidP="00F338F8">
      <w:pPr>
        <w:pStyle w:val="ListParagraph"/>
        <w:numPr>
          <w:ilvl w:val="0"/>
          <w:numId w:val="35"/>
        </w:numPr>
      </w:pPr>
      <w:r>
        <w:t>A</w:t>
      </w:r>
      <w:r w:rsidR="001C5BBC" w:rsidRPr="001C5BBC">
        <w:t xml:space="preserve">dditional </w:t>
      </w:r>
      <w:r w:rsidR="00F338F8">
        <w:t>NO</w:t>
      </w:r>
      <w:r w:rsidR="00F338F8" w:rsidRPr="00F338F8">
        <w:rPr>
          <w:vertAlign w:val="subscript"/>
        </w:rPr>
        <w:t>x</w:t>
      </w:r>
      <w:r w:rsidR="00F338F8" w:rsidRPr="001C5BBC">
        <w:t xml:space="preserve"> </w:t>
      </w:r>
      <w:r w:rsidR="001C5BBC" w:rsidRPr="001C5BBC">
        <w:t>emission controls are not reasonable for North Valmy Unit 1</w:t>
      </w:r>
      <w:r w:rsidR="00863ED9">
        <w:t xml:space="preserve">.  </w:t>
      </w:r>
    </w:p>
    <w:p w14:paraId="503CA131" w14:textId="77777777" w:rsidR="00F338F8" w:rsidRDefault="00F338F8" w:rsidP="00DC34D0"/>
    <w:p w14:paraId="5DD819D4" w14:textId="4EFE60DA" w:rsidR="00DC34D0" w:rsidRDefault="001E0738" w:rsidP="00DC34D0">
      <w:r>
        <w:t xml:space="preserve">Nonetheless, </w:t>
      </w:r>
      <w:r w:rsidR="00933DEA">
        <w:t>the NPS</w:t>
      </w:r>
      <w:r w:rsidR="00144550">
        <w:t>’s updated</w:t>
      </w:r>
      <w:r w:rsidR="00690E62">
        <w:t xml:space="preserve"> </w:t>
      </w:r>
      <w:r w:rsidR="001C5BBC" w:rsidRPr="001C5BBC">
        <w:t xml:space="preserve">review </w:t>
      </w:r>
      <w:r w:rsidR="00144550">
        <w:t xml:space="preserve">finds </w:t>
      </w:r>
      <w:r w:rsidR="00A36A0D">
        <w:t xml:space="preserve">that </w:t>
      </w:r>
      <w:r w:rsidR="00A34184">
        <w:t xml:space="preserve">Dry Sorbent Injection (DSI) </w:t>
      </w:r>
      <w:r w:rsidR="00144550">
        <w:t xml:space="preserve">continues to </w:t>
      </w:r>
      <w:r w:rsidR="00A34184">
        <w:t>provide</w:t>
      </w:r>
      <w:r w:rsidR="00A36A0D">
        <w:t xml:space="preserve"> technically</w:t>
      </w:r>
      <w:r w:rsidR="001C5BBC" w:rsidRPr="001C5BBC">
        <w:t xml:space="preserve"> feasible and cost-effective opportunities to reduce </w:t>
      </w:r>
      <w:r w:rsidR="007370B3">
        <w:t>SO</w:t>
      </w:r>
      <w:r w:rsidR="007370B3" w:rsidRPr="008D6E04">
        <w:rPr>
          <w:vertAlign w:val="subscript"/>
        </w:rPr>
        <w:t>2</w:t>
      </w:r>
      <w:r w:rsidR="001C5BBC" w:rsidRPr="001C5BBC">
        <w:t xml:space="preserve"> emissions from North Valmy Unit 1 in this planning period</w:t>
      </w:r>
      <w:r w:rsidR="00863ED9">
        <w:t xml:space="preserve">.  </w:t>
      </w:r>
      <w:r w:rsidR="00DE1790">
        <w:t xml:space="preserve">NPS analyses discussed below and </w:t>
      </w:r>
      <w:r w:rsidR="00EA2F6B">
        <w:t xml:space="preserve">documented in the attached </w:t>
      </w:r>
      <w:r w:rsidR="00B47DCD">
        <w:t>calculation workbooks demonstrate that a</w:t>
      </w:r>
      <w:r w:rsidR="00DC34D0">
        <w:t>dding DSI to North Valmy Unit 1 is within the cost-effectiveness threshold established by Nevada for this round of regional haze planning</w:t>
      </w:r>
      <w:r w:rsidR="00863ED9">
        <w:t xml:space="preserve">.  </w:t>
      </w:r>
    </w:p>
    <w:p w14:paraId="4663B9EC" w14:textId="18DF0D50" w:rsidR="00DC34D0" w:rsidRDefault="00DC34D0" w:rsidP="00B47DCD">
      <w:pPr>
        <w:pStyle w:val="ListParagraph"/>
      </w:pPr>
      <w:r>
        <w:t xml:space="preserve">Replacement of the existing hydrated lime DSI system </w:t>
      </w:r>
      <w:r w:rsidR="00144550">
        <w:t xml:space="preserve">by </w:t>
      </w:r>
      <w:r>
        <w:t xml:space="preserve">a new one </w:t>
      </w:r>
      <w:r w:rsidR="00144550">
        <w:t xml:space="preserve">with </w:t>
      </w:r>
      <w:r>
        <w:t>greater capacity could reduce SO</w:t>
      </w:r>
      <w:r w:rsidRPr="008A3F1A">
        <w:rPr>
          <w:vertAlign w:val="subscript"/>
        </w:rPr>
        <w:t>2</w:t>
      </w:r>
      <w:r>
        <w:t xml:space="preserve"> </w:t>
      </w:r>
      <w:r w:rsidR="00DC0674">
        <w:t xml:space="preserve">emissions </w:t>
      </w:r>
      <w:r>
        <w:t>by an additional 500 tons/year</w:t>
      </w:r>
      <w:r w:rsidR="00144550">
        <w:t xml:space="preserve"> and result </w:t>
      </w:r>
      <w:r>
        <w:t>in an incremental cost-effectiveness of about $9,100/ton</w:t>
      </w:r>
      <w:r w:rsidR="00863ED9">
        <w:t xml:space="preserve">.  </w:t>
      </w:r>
    </w:p>
    <w:p w14:paraId="2F0C88E3" w14:textId="058612B4" w:rsidR="00D6102A" w:rsidRDefault="00A45C67" w:rsidP="00B47DCD">
      <w:pPr>
        <w:pStyle w:val="ListParagraph"/>
      </w:pPr>
      <w:r>
        <w:t>R</w:t>
      </w:r>
      <w:r w:rsidR="00DC34D0">
        <w:t>eplac</w:t>
      </w:r>
      <w:r>
        <w:t>ement of</w:t>
      </w:r>
      <w:r w:rsidR="00DC34D0">
        <w:t xml:space="preserve"> the existing hydrated lime DSI system with DSI using milled trona </w:t>
      </w:r>
      <w:r w:rsidR="00051491">
        <w:t>could</w:t>
      </w:r>
      <w:r w:rsidR="001A5B74">
        <w:t xml:space="preserve"> reduce </w:t>
      </w:r>
      <w:r w:rsidR="004D72B9">
        <w:t>SO</w:t>
      </w:r>
      <w:r w:rsidR="004D72B9" w:rsidRPr="00CF504A">
        <w:rPr>
          <w:vertAlign w:val="subscript"/>
        </w:rPr>
        <w:t>2</w:t>
      </w:r>
      <w:r w:rsidR="004D72B9">
        <w:t xml:space="preserve"> emissions by </w:t>
      </w:r>
      <w:r w:rsidR="00CF5DA6">
        <w:t xml:space="preserve">1,200 tons/year for </w:t>
      </w:r>
      <w:r w:rsidR="00DC34D0">
        <w:t>about $9,500/ton</w:t>
      </w:r>
      <w:r w:rsidR="00863ED9">
        <w:t xml:space="preserve">.  </w:t>
      </w:r>
      <w:r w:rsidR="00CF5DA6">
        <w:t xml:space="preserve">This estimate includes </w:t>
      </w:r>
      <w:r>
        <w:t xml:space="preserve">the additional cost of adding </w:t>
      </w:r>
      <w:r w:rsidRPr="006221B9">
        <w:t xml:space="preserve">powdered activated carbon </w:t>
      </w:r>
      <w:r>
        <w:t xml:space="preserve">(PAC) to address </w:t>
      </w:r>
      <w:r w:rsidR="7A85C08D">
        <w:t xml:space="preserve">a </w:t>
      </w:r>
      <w:r>
        <w:t xml:space="preserve">potential </w:t>
      </w:r>
      <w:r w:rsidR="7A85C08D">
        <w:t xml:space="preserve">brown </w:t>
      </w:r>
      <w:r>
        <w:t>plume</w:t>
      </w:r>
      <w:r w:rsidR="00CF5DA6">
        <w:t>.</w:t>
      </w:r>
    </w:p>
    <w:p w14:paraId="746B6C02" w14:textId="1DED98AB" w:rsidR="00B47DCD" w:rsidRPr="00D6102A" w:rsidRDefault="00933DEA" w:rsidP="006D2B50">
      <w:r>
        <w:t>The NPS</w:t>
      </w:r>
      <w:r w:rsidR="006D2B50" w:rsidRPr="006D2B50">
        <w:t xml:space="preserve"> </w:t>
      </w:r>
      <w:r w:rsidR="006D2B50">
        <w:t>recommends</w:t>
      </w:r>
      <w:r w:rsidR="006D2B50" w:rsidRPr="006D2B50">
        <w:t xml:space="preserve"> that Nevada require the most effective control measures found to be technically</w:t>
      </w:r>
      <w:r w:rsidR="00863ED9">
        <w:t xml:space="preserve"> </w:t>
      </w:r>
      <w:r w:rsidR="006D2B50" w:rsidRPr="006D2B50">
        <w:t>feasible and cost</w:t>
      </w:r>
      <w:r w:rsidR="00863ED9">
        <w:t xml:space="preserve"> </w:t>
      </w:r>
      <w:r w:rsidR="006D2B50" w:rsidRPr="006D2B50">
        <w:t>effective through analysis of the four factors specified in the Regional Haze Rule</w:t>
      </w:r>
      <w:r w:rsidR="00863ED9">
        <w:t xml:space="preserve">.  </w:t>
      </w:r>
      <w:r w:rsidR="006D2B50" w:rsidRPr="006D2B50">
        <w:t>Those control measures include DSI for Unit 1 at North Valmy.</w:t>
      </w:r>
    </w:p>
    <w:p w14:paraId="10ACA147" w14:textId="231D4796" w:rsidR="006F2F00" w:rsidRPr="00457B98" w:rsidRDefault="006C5DFB" w:rsidP="005D62A8">
      <w:pPr>
        <w:pStyle w:val="Heading1"/>
      </w:pPr>
      <w:bookmarkStart w:id="12" w:name="_Toc109058117"/>
      <w:r>
        <w:t>Updated</w:t>
      </w:r>
      <w:r w:rsidR="00D6102A">
        <w:t xml:space="preserve"> Review: </w:t>
      </w:r>
      <w:r w:rsidR="005D5D7A" w:rsidRPr="00457B98">
        <w:t>Nevada Energy</w:t>
      </w:r>
      <w:r w:rsidR="00DD3BEC" w:rsidRPr="00457B98">
        <w:t xml:space="preserve"> </w:t>
      </w:r>
      <w:r w:rsidR="00B77CBA" w:rsidRPr="00457B98">
        <w:t>–</w:t>
      </w:r>
      <w:r w:rsidR="00DD3BEC" w:rsidRPr="00457B98">
        <w:t xml:space="preserve"> </w:t>
      </w:r>
      <w:r w:rsidR="005D5D7A" w:rsidRPr="00457B98">
        <w:t>North Valmy Generating Station</w:t>
      </w:r>
      <w:bookmarkEnd w:id="12"/>
    </w:p>
    <w:p w14:paraId="2A05CFB1" w14:textId="007645DE" w:rsidR="005D5D7A" w:rsidRPr="00396581" w:rsidRDefault="002A0ED6" w:rsidP="008B490A">
      <w:pPr>
        <w:pStyle w:val="Heading2"/>
      </w:pPr>
      <w:bookmarkStart w:id="13" w:name="_Toc109058118"/>
      <w:r w:rsidRPr="00396581">
        <w:t>Plant Characteristics</w:t>
      </w:r>
      <w:bookmarkEnd w:id="13"/>
    </w:p>
    <w:p w14:paraId="7E235FB0" w14:textId="0232949C" w:rsidR="00E038AE" w:rsidRPr="00396581" w:rsidRDefault="00E038AE" w:rsidP="00D56B46">
      <w:pPr>
        <w:contextualSpacing/>
      </w:pPr>
      <w:r w:rsidRPr="00396581">
        <w:t xml:space="preserve">The North Valmy Generating Station (North Valmy) is a 522-megawatt </w:t>
      </w:r>
      <w:r w:rsidR="006E03A5" w:rsidRPr="00396581">
        <w:t xml:space="preserve">(MW) </w:t>
      </w:r>
      <w:r w:rsidRPr="00396581">
        <w:t>coal-fired power station located near Valmy, Nevada</w:t>
      </w:r>
      <w:r w:rsidR="00863ED9">
        <w:t xml:space="preserve">.  </w:t>
      </w:r>
      <w:r w:rsidR="002C72E2" w:rsidRPr="00396581">
        <w:t>This facility is</w:t>
      </w:r>
      <w:r w:rsidRPr="00396581">
        <w:t xml:space="preserve"> about 300 km northwest of Great Basin National Park</w:t>
      </w:r>
      <w:r w:rsidR="00863ED9">
        <w:t xml:space="preserve">.  </w:t>
      </w:r>
      <w:r w:rsidR="00BB27F4" w:rsidRPr="00396581">
        <w:t xml:space="preserve">Additionally, </w:t>
      </w:r>
      <w:r w:rsidR="00DF50FB" w:rsidRPr="00396581">
        <w:t xml:space="preserve">the facility </w:t>
      </w:r>
      <w:r w:rsidR="00EB2334" w:rsidRPr="00396581">
        <w:t>i</w:t>
      </w:r>
      <w:r w:rsidR="00DF50FB" w:rsidRPr="00396581">
        <w:t xml:space="preserve">s </w:t>
      </w:r>
      <w:r w:rsidR="00846FDF" w:rsidRPr="00396581">
        <w:t xml:space="preserve">500km northwest of </w:t>
      </w:r>
      <w:r w:rsidRPr="00396581">
        <w:t>Zion N</w:t>
      </w:r>
      <w:r w:rsidR="002860F0" w:rsidRPr="00396581">
        <w:t xml:space="preserve">ational </w:t>
      </w:r>
      <w:r w:rsidRPr="00396581">
        <w:t>P</w:t>
      </w:r>
      <w:r w:rsidR="002860F0" w:rsidRPr="00396581">
        <w:t>ark</w:t>
      </w:r>
      <w:r w:rsidR="00FB02CB" w:rsidRPr="00396581">
        <w:t xml:space="preserve"> </w:t>
      </w:r>
      <w:r w:rsidR="00846FDF" w:rsidRPr="00396581">
        <w:t xml:space="preserve">and 400km </w:t>
      </w:r>
      <w:r w:rsidR="00BE1CD7" w:rsidRPr="00396581">
        <w:t xml:space="preserve">southwest of </w:t>
      </w:r>
      <w:r w:rsidRPr="00396581">
        <w:t>Craters of the Moon National Monument</w:t>
      </w:r>
      <w:r w:rsidR="00EB2334" w:rsidRPr="00396581">
        <w:t xml:space="preserve">, both </w:t>
      </w:r>
      <w:r w:rsidR="00DF50FB" w:rsidRPr="00396581">
        <w:t>NPS</w:t>
      </w:r>
      <w:r w:rsidR="006E03A5" w:rsidRPr="00396581">
        <w:t>-</w:t>
      </w:r>
      <w:r w:rsidR="00DF50FB" w:rsidRPr="00396581">
        <w:t xml:space="preserve">managed and </w:t>
      </w:r>
      <w:proofErr w:type="gramStart"/>
      <w:r w:rsidR="00DF50FB" w:rsidRPr="00396581">
        <w:t>federally</w:t>
      </w:r>
      <w:r w:rsidR="006E03A5" w:rsidRPr="00396581">
        <w:t>-</w:t>
      </w:r>
      <w:r w:rsidR="00DF50FB" w:rsidRPr="00396581">
        <w:t>mandated</w:t>
      </w:r>
      <w:proofErr w:type="gramEnd"/>
      <w:r w:rsidR="00DF50FB" w:rsidRPr="00396581">
        <w:t xml:space="preserve"> Class I areas</w:t>
      </w:r>
      <w:r w:rsidR="00863ED9">
        <w:t xml:space="preserve">.  </w:t>
      </w:r>
      <w:r w:rsidRPr="00396581">
        <w:t>The plant is now owned by NV Energy</w:t>
      </w:r>
      <w:r w:rsidR="00863ED9">
        <w:t xml:space="preserve">.  </w:t>
      </w:r>
      <w:r w:rsidRPr="00396581">
        <w:t>Bituminous and subbituminous coal from mines in CO, UT, and WY is burned in two wall-fired boilers</w:t>
      </w:r>
      <w:r w:rsidR="00863ED9">
        <w:t xml:space="preserve">.  </w:t>
      </w:r>
      <w:r w:rsidR="00770A3C" w:rsidRPr="00396581">
        <w:t xml:space="preserve">Sierra Pacific Resources </w:t>
      </w:r>
      <w:r w:rsidR="00770A3C">
        <w:t>began c</w:t>
      </w:r>
      <w:r w:rsidRPr="00396581">
        <w:t xml:space="preserve">onstruction </w:t>
      </w:r>
      <w:r w:rsidR="00EB2334" w:rsidRPr="00396581">
        <w:t>on the plant</w:t>
      </w:r>
      <w:r w:rsidRPr="00396581">
        <w:t xml:space="preserve"> in 1979</w:t>
      </w:r>
      <w:r w:rsidR="00863ED9">
        <w:t xml:space="preserve">.  </w:t>
      </w:r>
    </w:p>
    <w:p w14:paraId="151BCA23" w14:textId="77777777" w:rsidR="001B3B8F" w:rsidRPr="00396581" w:rsidRDefault="001B3B8F" w:rsidP="00D56B46">
      <w:pPr>
        <w:contextualSpacing/>
      </w:pPr>
    </w:p>
    <w:p w14:paraId="558370B0" w14:textId="57BA2E39" w:rsidR="00E038AE" w:rsidRPr="00396581" w:rsidRDefault="00E038AE" w:rsidP="00D56B46">
      <w:pPr>
        <w:contextualSpacing/>
      </w:pPr>
      <w:r w:rsidRPr="00396581">
        <w:t>Unit 1 went online in 1981 and is rated at 254</w:t>
      </w:r>
      <w:r w:rsidR="006E03A5" w:rsidRPr="00396581">
        <w:t xml:space="preserve"> </w:t>
      </w:r>
      <w:r w:rsidRPr="00396581">
        <w:t xml:space="preserve">MW with a Babcock &amp; Wilcox </w:t>
      </w:r>
      <w:r w:rsidR="001B3B8F" w:rsidRPr="00396581">
        <w:t xml:space="preserve">(B&amp;W) </w:t>
      </w:r>
      <w:r w:rsidRPr="00396581">
        <w:t>Boiler and Westinghouse turbine/generator</w:t>
      </w:r>
      <w:bookmarkStart w:id="14" w:name="_Hlk94256206"/>
      <w:r w:rsidR="00863ED9">
        <w:t xml:space="preserve">.  </w:t>
      </w:r>
      <w:r w:rsidRPr="00396581">
        <w:t>Unit 1 is equipped with Low</w:t>
      </w:r>
      <w:r w:rsidR="00ED2570" w:rsidRPr="00396581">
        <w:t>-</w:t>
      </w:r>
      <w:r w:rsidR="00187B7F" w:rsidRPr="00396581">
        <w:t>NO</w:t>
      </w:r>
      <w:r w:rsidR="00187B7F" w:rsidRPr="00396581">
        <w:rPr>
          <w:vertAlign w:val="subscript"/>
        </w:rPr>
        <w:t>x</w:t>
      </w:r>
      <w:r w:rsidRPr="00396581">
        <w:t xml:space="preserve"> Burner (LNB) Technology to control nitrogen oxides (</w:t>
      </w:r>
      <w:r w:rsidR="00187B7F" w:rsidRPr="00396581">
        <w:t>NO</w:t>
      </w:r>
      <w:r w:rsidR="00187B7F" w:rsidRPr="00396581">
        <w:rPr>
          <w:vertAlign w:val="subscript"/>
        </w:rPr>
        <w:t>x</w:t>
      </w:r>
      <w:r w:rsidRPr="00396581">
        <w:t>) and a baghouse to control particulate</w:t>
      </w:r>
      <w:bookmarkEnd w:id="14"/>
      <w:r w:rsidR="00863ED9">
        <w:t xml:space="preserve">.  </w:t>
      </w:r>
      <w:r w:rsidRPr="00396581">
        <w:t>Unit 1 utilizes a Dry Sorbent Injection (DSI) system employing hydrated lime on Unit 1</w:t>
      </w:r>
      <w:r w:rsidR="00863ED9">
        <w:t xml:space="preserve">.  </w:t>
      </w:r>
      <w:r w:rsidRPr="00396581">
        <w:t>The existing DSI system on Unit 1 is used to ensure compliance with the Mercury and Air Toxics Standards (MATS) hydrochloric acid (HCl) emission limit, and hydrated lime was selected as the appropriate sorbent to use on Unit 1 because of its capability to selectively react with HCl</w:t>
      </w:r>
      <w:r w:rsidR="00863ED9">
        <w:t xml:space="preserve">.  </w:t>
      </w:r>
      <w:r w:rsidRPr="00396581">
        <w:t xml:space="preserve">Unit 1 has no dedicated sulfur dioxide </w:t>
      </w:r>
      <w:r w:rsidR="00ED2570" w:rsidRPr="00396581">
        <w:t>(</w:t>
      </w:r>
      <w:r w:rsidR="00D6102A" w:rsidRPr="008303E0">
        <w:t>SO</w:t>
      </w:r>
      <w:r w:rsidR="00D6102A" w:rsidRPr="00D6102A">
        <w:rPr>
          <w:vertAlign w:val="subscript"/>
        </w:rPr>
        <w:t>2</w:t>
      </w:r>
      <w:r w:rsidR="00ED2570" w:rsidRPr="00396581">
        <w:t>)</w:t>
      </w:r>
      <w:r w:rsidRPr="00396581">
        <w:t xml:space="preserve"> controls.</w:t>
      </w:r>
    </w:p>
    <w:p w14:paraId="09F9EABA" w14:textId="77777777" w:rsidR="0055209A" w:rsidRPr="00396581" w:rsidRDefault="0055209A" w:rsidP="00D56B46">
      <w:pPr>
        <w:contextualSpacing/>
      </w:pPr>
    </w:p>
    <w:p w14:paraId="0A30588B" w14:textId="1C8C32E6" w:rsidR="00E038AE" w:rsidRDefault="00E038AE" w:rsidP="00D56B46">
      <w:pPr>
        <w:contextualSpacing/>
      </w:pPr>
      <w:r w:rsidRPr="00396581">
        <w:t>Unit 2 followed in 1985 and is rated at 268 MW with a Foster Wheeler Boiler and General Electric turbine/generator</w:t>
      </w:r>
      <w:r w:rsidR="00863ED9">
        <w:t xml:space="preserve">.  </w:t>
      </w:r>
      <w:r w:rsidRPr="00396581">
        <w:t>Unit 2 is equipped with LNB, Dry Lime Flue Gas Desulfurization (FGD), and a baghouse.</w:t>
      </w:r>
    </w:p>
    <w:p w14:paraId="0D1A44AA" w14:textId="77777777" w:rsidR="00770A3C" w:rsidRPr="00396581" w:rsidRDefault="00770A3C" w:rsidP="00D56B46">
      <w:pPr>
        <w:contextualSpacing/>
      </w:pPr>
    </w:p>
    <w:p w14:paraId="6A6DE8ED" w14:textId="330AF391" w:rsidR="002A0ED6" w:rsidRPr="00396581" w:rsidRDefault="002A0ED6" w:rsidP="008B490A">
      <w:pPr>
        <w:pStyle w:val="Heading2"/>
      </w:pPr>
      <w:bookmarkStart w:id="15" w:name="_Toc109058119"/>
      <w:r w:rsidRPr="00396581">
        <w:rPr>
          <w:rStyle w:val="Heading2Char"/>
        </w:rPr>
        <w:t>Recent</w:t>
      </w:r>
      <w:r w:rsidRPr="00396581">
        <w:t xml:space="preserve"> Emissions</w:t>
      </w:r>
      <w:bookmarkEnd w:id="15"/>
    </w:p>
    <w:p w14:paraId="289C74F6" w14:textId="6E7CA1AE" w:rsidR="0011267F" w:rsidRPr="00396581" w:rsidRDefault="0011267F" w:rsidP="00D56B46">
      <w:pPr>
        <w:contextualSpacing/>
      </w:pPr>
      <w:r w:rsidRPr="00396581">
        <w:t>The table below provides a breakdown by unit of 202</w:t>
      </w:r>
      <w:r w:rsidR="00ED2570" w:rsidRPr="00396581">
        <w:t>1</w:t>
      </w:r>
      <w:r w:rsidRPr="00396581">
        <w:t xml:space="preserve"> </w:t>
      </w:r>
      <w:r w:rsidR="00D6102A" w:rsidRPr="008303E0">
        <w:t>SO</w:t>
      </w:r>
      <w:r w:rsidR="00D6102A" w:rsidRPr="00D6102A">
        <w:rPr>
          <w:vertAlign w:val="subscript"/>
        </w:rPr>
        <w:t>2</w:t>
      </w:r>
      <w:r w:rsidRPr="00396581">
        <w:t xml:space="preserve"> and </w:t>
      </w:r>
      <w:r w:rsidR="00187B7F" w:rsidRPr="00396581">
        <w:t>NO</w:t>
      </w:r>
      <w:r w:rsidR="00187B7F" w:rsidRPr="00396581">
        <w:rPr>
          <w:vertAlign w:val="subscript"/>
        </w:rPr>
        <w:t>x</w:t>
      </w:r>
      <w:r w:rsidRPr="00396581">
        <w:t xml:space="preserve"> emissions and how they rank versus the 3,</w:t>
      </w:r>
      <w:r w:rsidR="00145692" w:rsidRPr="00396581">
        <w:t>291</w:t>
      </w:r>
      <w:r w:rsidRPr="00396581">
        <w:t xml:space="preserve"> EGUs in </w:t>
      </w:r>
      <w:r w:rsidR="00ED2570" w:rsidRPr="00396581">
        <w:t>EPA’s Clean Air Markets Database (</w:t>
      </w:r>
      <w:r w:rsidRPr="00396581">
        <w:t>CAMD</w:t>
      </w:r>
      <w:r w:rsidR="00ED2570" w:rsidRPr="00396581">
        <w:t>)</w:t>
      </w:r>
      <w:r w:rsidRPr="00396581">
        <w:t>.</w:t>
      </w:r>
    </w:p>
    <w:p w14:paraId="204A4FAB" w14:textId="53AEA741" w:rsidR="00903284" w:rsidRPr="00396581" w:rsidRDefault="00903284" w:rsidP="00D56B46">
      <w:pPr>
        <w:contextualSpacing/>
        <w:rPr>
          <w:i/>
          <w:iCs/>
          <w:color w:val="44546A" w:themeColor="text2"/>
          <w:sz w:val="18"/>
          <w:szCs w:val="18"/>
        </w:rPr>
      </w:pPr>
    </w:p>
    <w:p w14:paraId="153FC9D3" w14:textId="39472F43" w:rsidR="0011267F" w:rsidRPr="00396581" w:rsidRDefault="00881D4E" w:rsidP="00D56B46">
      <w:pPr>
        <w:pStyle w:val="Caption"/>
        <w:contextualSpacing/>
        <w:rPr>
          <w:rFonts w:cs="Times New Roman"/>
        </w:rPr>
      </w:pPr>
      <w:r w:rsidRPr="00396581">
        <w:rPr>
          <w:rFonts w:cs="Times New Roman"/>
        </w:rPr>
        <w:t xml:space="preserve">Table </w:t>
      </w:r>
      <w:r w:rsidR="0083515B" w:rsidRPr="00396581">
        <w:rPr>
          <w:rFonts w:cs="Times New Roman"/>
        </w:rPr>
        <w:fldChar w:fldCharType="begin"/>
      </w:r>
      <w:r w:rsidR="0083515B" w:rsidRPr="00396581">
        <w:rPr>
          <w:rFonts w:cs="Times New Roman"/>
        </w:rPr>
        <w:instrText xml:space="preserve"> SEQ Table \* ARABIC </w:instrText>
      </w:r>
      <w:r w:rsidR="0083515B" w:rsidRPr="00396581">
        <w:rPr>
          <w:rFonts w:cs="Times New Roman"/>
        </w:rPr>
        <w:fldChar w:fldCharType="separate"/>
      </w:r>
      <w:r w:rsidR="00A53A98" w:rsidRPr="00396581">
        <w:rPr>
          <w:rFonts w:cs="Times New Roman"/>
          <w:noProof/>
        </w:rPr>
        <w:t>1</w:t>
      </w:r>
      <w:r w:rsidR="0083515B" w:rsidRPr="00396581">
        <w:rPr>
          <w:rFonts w:cs="Times New Roman"/>
          <w:noProof/>
        </w:rPr>
        <w:fldChar w:fldCharType="end"/>
      </w:r>
      <w:r w:rsidR="00863ED9">
        <w:rPr>
          <w:rFonts w:cs="Times New Roman"/>
        </w:rPr>
        <w:t xml:space="preserve">.  </w:t>
      </w:r>
      <w:r w:rsidRPr="00396581">
        <w:rPr>
          <w:rFonts w:cs="Times New Roman"/>
        </w:rPr>
        <w:t>202</w:t>
      </w:r>
      <w:r w:rsidR="00145692" w:rsidRPr="00396581">
        <w:rPr>
          <w:rFonts w:cs="Times New Roman"/>
        </w:rPr>
        <w:t>1</w:t>
      </w:r>
      <w:r w:rsidRPr="00396581">
        <w:rPr>
          <w:rFonts w:cs="Times New Roman"/>
        </w:rPr>
        <w:t xml:space="preserve"> North Valmy EGU emissions and rank compared to other U.S</w:t>
      </w:r>
      <w:r w:rsidR="00863ED9">
        <w:rPr>
          <w:rFonts w:cs="Times New Roman"/>
        </w:rPr>
        <w:t xml:space="preserve">.  </w:t>
      </w:r>
      <w:r w:rsidRPr="00396581">
        <w:rPr>
          <w:rFonts w:cs="Times New Roman"/>
        </w:rPr>
        <w:t>EGUs in CAMD</w:t>
      </w:r>
    </w:p>
    <w:tbl>
      <w:tblPr>
        <w:tblW w:w="5000" w:type="pct"/>
        <w:tblLook w:val="04A0" w:firstRow="1" w:lastRow="0" w:firstColumn="1" w:lastColumn="0" w:noHBand="0" w:noVBand="1"/>
      </w:tblPr>
      <w:tblGrid>
        <w:gridCol w:w="501"/>
        <w:gridCol w:w="916"/>
        <w:gridCol w:w="992"/>
        <w:gridCol w:w="611"/>
        <w:gridCol w:w="555"/>
        <w:gridCol w:w="1063"/>
        <w:gridCol w:w="1063"/>
        <w:gridCol w:w="611"/>
        <w:gridCol w:w="555"/>
        <w:gridCol w:w="913"/>
        <w:gridCol w:w="555"/>
        <w:gridCol w:w="1005"/>
      </w:tblGrid>
      <w:tr w:rsidR="00145692" w:rsidRPr="0073626C" w14:paraId="0E23F469" w14:textId="77777777" w:rsidTr="00145692">
        <w:trPr>
          <w:trHeight w:val="1170"/>
        </w:trPr>
        <w:tc>
          <w:tcPr>
            <w:tcW w:w="268" w:type="pct"/>
            <w:tcBorders>
              <w:top w:val="single" w:sz="8" w:space="0" w:color="auto"/>
              <w:left w:val="single" w:sz="8" w:space="0" w:color="auto"/>
              <w:bottom w:val="single" w:sz="8" w:space="0" w:color="auto"/>
              <w:right w:val="single" w:sz="4" w:space="0" w:color="auto"/>
            </w:tcBorders>
            <w:shd w:val="clear" w:color="auto" w:fill="auto"/>
            <w:vAlign w:val="center"/>
            <w:hideMark/>
          </w:tcPr>
          <w:p w14:paraId="4A3AB6BC" w14:textId="77777777" w:rsidR="00145692" w:rsidRPr="0073626C" w:rsidRDefault="00145692" w:rsidP="00D56B46">
            <w:pPr>
              <w:contextualSpacing/>
              <w:jc w:val="center"/>
              <w:rPr>
                <w:color w:val="000000"/>
                <w:sz w:val="16"/>
                <w:szCs w:val="16"/>
              </w:rPr>
            </w:pPr>
            <w:r w:rsidRPr="0073626C">
              <w:rPr>
                <w:color w:val="000000"/>
                <w:sz w:val="16"/>
                <w:szCs w:val="16"/>
              </w:rPr>
              <w:t>Unit ID</w:t>
            </w:r>
          </w:p>
        </w:tc>
        <w:tc>
          <w:tcPr>
            <w:tcW w:w="491" w:type="pct"/>
            <w:tcBorders>
              <w:top w:val="single" w:sz="8" w:space="0" w:color="auto"/>
              <w:left w:val="nil"/>
              <w:bottom w:val="single" w:sz="8" w:space="0" w:color="auto"/>
              <w:right w:val="single" w:sz="4" w:space="0" w:color="auto"/>
            </w:tcBorders>
            <w:shd w:val="clear" w:color="auto" w:fill="auto"/>
            <w:vAlign w:val="center"/>
            <w:hideMark/>
          </w:tcPr>
          <w:p w14:paraId="4981287B" w14:textId="7364E762" w:rsidR="00145692" w:rsidRPr="0073626C" w:rsidRDefault="00145692" w:rsidP="00D56B46">
            <w:pPr>
              <w:contextualSpacing/>
              <w:jc w:val="center"/>
              <w:rPr>
                <w:color w:val="000000"/>
                <w:sz w:val="16"/>
                <w:szCs w:val="16"/>
              </w:rPr>
            </w:pPr>
            <w:r w:rsidRPr="0073626C">
              <w:rPr>
                <w:color w:val="000000"/>
                <w:sz w:val="16"/>
                <w:szCs w:val="16"/>
              </w:rPr>
              <w:t>Operating Time</w:t>
            </w:r>
          </w:p>
        </w:tc>
        <w:tc>
          <w:tcPr>
            <w:tcW w:w="531" w:type="pct"/>
            <w:tcBorders>
              <w:top w:val="single" w:sz="8" w:space="0" w:color="auto"/>
              <w:left w:val="nil"/>
              <w:bottom w:val="single" w:sz="8" w:space="0" w:color="auto"/>
              <w:right w:val="single" w:sz="4" w:space="0" w:color="auto"/>
            </w:tcBorders>
            <w:shd w:val="clear" w:color="auto" w:fill="auto"/>
            <w:vAlign w:val="center"/>
            <w:hideMark/>
          </w:tcPr>
          <w:p w14:paraId="7AFADCE2" w14:textId="02AADA92" w:rsidR="00145692" w:rsidRPr="0073626C" w:rsidRDefault="00145692" w:rsidP="00D56B46">
            <w:pPr>
              <w:contextualSpacing/>
              <w:jc w:val="center"/>
              <w:rPr>
                <w:color w:val="000000"/>
                <w:sz w:val="16"/>
                <w:szCs w:val="16"/>
              </w:rPr>
            </w:pPr>
            <w:r w:rsidRPr="0073626C">
              <w:rPr>
                <w:color w:val="000000"/>
                <w:sz w:val="16"/>
                <w:szCs w:val="16"/>
              </w:rPr>
              <w:t>Gross Load (MW-h)</w:t>
            </w:r>
          </w:p>
        </w:tc>
        <w:tc>
          <w:tcPr>
            <w:tcW w:w="327" w:type="pct"/>
            <w:tcBorders>
              <w:top w:val="single" w:sz="8" w:space="0" w:color="auto"/>
              <w:left w:val="nil"/>
              <w:bottom w:val="single" w:sz="8" w:space="0" w:color="auto"/>
              <w:right w:val="single" w:sz="4" w:space="0" w:color="auto"/>
            </w:tcBorders>
            <w:shd w:val="clear" w:color="auto" w:fill="auto"/>
            <w:vAlign w:val="center"/>
            <w:hideMark/>
          </w:tcPr>
          <w:p w14:paraId="04F8C104" w14:textId="23D2C71F" w:rsidR="00145692" w:rsidRPr="0073626C" w:rsidRDefault="00D6102A" w:rsidP="00D56B46">
            <w:pPr>
              <w:contextualSpacing/>
              <w:jc w:val="center"/>
              <w:rPr>
                <w:color w:val="000000"/>
                <w:sz w:val="16"/>
                <w:szCs w:val="16"/>
              </w:rPr>
            </w:pPr>
            <w:r w:rsidRPr="0073626C">
              <w:rPr>
                <w:sz w:val="16"/>
                <w:szCs w:val="16"/>
              </w:rPr>
              <w:t>SO</w:t>
            </w:r>
            <w:r w:rsidRPr="0073626C">
              <w:rPr>
                <w:sz w:val="16"/>
                <w:szCs w:val="16"/>
                <w:vertAlign w:val="subscript"/>
              </w:rPr>
              <w:t>2</w:t>
            </w:r>
            <w:r w:rsidR="00145692" w:rsidRPr="0073626C">
              <w:rPr>
                <w:color w:val="000000"/>
                <w:sz w:val="16"/>
                <w:szCs w:val="16"/>
              </w:rPr>
              <w:t xml:space="preserve"> (tons)</w:t>
            </w:r>
          </w:p>
        </w:tc>
        <w:tc>
          <w:tcPr>
            <w:tcW w:w="297" w:type="pct"/>
            <w:tcBorders>
              <w:top w:val="single" w:sz="8" w:space="0" w:color="auto"/>
              <w:left w:val="nil"/>
              <w:bottom w:val="single" w:sz="8" w:space="0" w:color="auto"/>
              <w:right w:val="single" w:sz="4" w:space="0" w:color="auto"/>
            </w:tcBorders>
            <w:shd w:val="clear" w:color="auto" w:fill="auto"/>
            <w:vAlign w:val="center"/>
            <w:hideMark/>
          </w:tcPr>
          <w:p w14:paraId="5611741E" w14:textId="3B5C6AE9" w:rsidR="00145692" w:rsidRPr="0073626C" w:rsidRDefault="00D6102A" w:rsidP="00D56B46">
            <w:pPr>
              <w:contextualSpacing/>
              <w:jc w:val="center"/>
              <w:rPr>
                <w:color w:val="000000"/>
                <w:sz w:val="16"/>
                <w:szCs w:val="16"/>
              </w:rPr>
            </w:pPr>
            <w:r w:rsidRPr="0073626C">
              <w:rPr>
                <w:sz w:val="16"/>
                <w:szCs w:val="16"/>
              </w:rPr>
              <w:t>SO</w:t>
            </w:r>
            <w:r w:rsidRPr="0073626C">
              <w:rPr>
                <w:sz w:val="16"/>
                <w:szCs w:val="16"/>
                <w:vertAlign w:val="subscript"/>
              </w:rPr>
              <w:t>2</w:t>
            </w:r>
            <w:r w:rsidR="00145692" w:rsidRPr="0073626C">
              <w:rPr>
                <w:color w:val="000000"/>
                <w:sz w:val="16"/>
                <w:szCs w:val="16"/>
              </w:rPr>
              <w:t xml:space="preserve"> Rank</w:t>
            </w:r>
          </w:p>
        </w:tc>
        <w:tc>
          <w:tcPr>
            <w:tcW w:w="569" w:type="pct"/>
            <w:tcBorders>
              <w:top w:val="single" w:sz="8" w:space="0" w:color="auto"/>
              <w:left w:val="nil"/>
              <w:bottom w:val="single" w:sz="8" w:space="0" w:color="auto"/>
              <w:right w:val="single" w:sz="4" w:space="0" w:color="auto"/>
            </w:tcBorders>
            <w:shd w:val="clear" w:color="auto" w:fill="auto"/>
            <w:vAlign w:val="center"/>
            <w:hideMark/>
          </w:tcPr>
          <w:p w14:paraId="76A08F8B" w14:textId="7AECF23B" w:rsidR="00145692" w:rsidRPr="0073626C" w:rsidRDefault="00145692" w:rsidP="00D56B46">
            <w:pPr>
              <w:contextualSpacing/>
              <w:jc w:val="center"/>
              <w:rPr>
                <w:color w:val="000000"/>
                <w:sz w:val="16"/>
                <w:szCs w:val="16"/>
              </w:rPr>
            </w:pPr>
            <w:r w:rsidRPr="0073626C">
              <w:rPr>
                <w:color w:val="000000"/>
                <w:sz w:val="16"/>
                <w:szCs w:val="16"/>
              </w:rPr>
              <w:t>Calculated Avg</w:t>
            </w:r>
            <w:r w:rsidR="00863ED9">
              <w:rPr>
                <w:color w:val="000000"/>
                <w:sz w:val="16"/>
                <w:szCs w:val="16"/>
              </w:rPr>
              <w:t xml:space="preserve">.  </w:t>
            </w:r>
            <w:r w:rsidR="00D6102A" w:rsidRPr="0073626C">
              <w:rPr>
                <w:sz w:val="16"/>
                <w:szCs w:val="16"/>
              </w:rPr>
              <w:t>SO</w:t>
            </w:r>
            <w:r w:rsidR="00D6102A" w:rsidRPr="0073626C">
              <w:rPr>
                <w:sz w:val="16"/>
                <w:szCs w:val="16"/>
                <w:vertAlign w:val="subscript"/>
              </w:rPr>
              <w:t>2</w:t>
            </w:r>
            <w:r w:rsidRPr="0073626C">
              <w:rPr>
                <w:color w:val="000000"/>
                <w:sz w:val="16"/>
                <w:szCs w:val="16"/>
              </w:rPr>
              <w:t xml:space="preserve"> Rate (</w:t>
            </w:r>
            <w:proofErr w:type="spellStart"/>
            <w:r w:rsidRPr="0073626C">
              <w:rPr>
                <w:color w:val="000000"/>
                <w:sz w:val="16"/>
                <w:szCs w:val="16"/>
              </w:rPr>
              <w:t>lb</w:t>
            </w:r>
            <w:proofErr w:type="spellEnd"/>
            <w:r w:rsidRPr="0073626C">
              <w:rPr>
                <w:color w:val="000000"/>
                <w:sz w:val="16"/>
                <w:szCs w:val="16"/>
              </w:rPr>
              <w:t>/MMBtu)</w:t>
            </w:r>
          </w:p>
        </w:tc>
        <w:tc>
          <w:tcPr>
            <w:tcW w:w="569" w:type="pct"/>
            <w:tcBorders>
              <w:top w:val="single" w:sz="8" w:space="0" w:color="auto"/>
              <w:left w:val="nil"/>
              <w:bottom w:val="single" w:sz="8" w:space="0" w:color="auto"/>
              <w:right w:val="single" w:sz="4" w:space="0" w:color="auto"/>
            </w:tcBorders>
            <w:shd w:val="clear" w:color="auto" w:fill="auto"/>
            <w:vAlign w:val="center"/>
            <w:hideMark/>
          </w:tcPr>
          <w:p w14:paraId="08AFAFE0" w14:textId="6F15B9EA" w:rsidR="00145692" w:rsidRPr="0073626C" w:rsidRDefault="00145692" w:rsidP="00D56B46">
            <w:pPr>
              <w:contextualSpacing/>
              <w:jc w:val="center"/>
              <w:rPr>
                <w:color w:val="000000"/>
                <w:sz w:val="16"/>
                <w:szCs w:val="16"/>
              </w:rPr>
            </w:pPr>
            <w:r w:rsidRPr="0073626C">
              <w:rPr>
                <w:color w:val="000000"/>
                <w:sz w:val="16"/>
                <w:szCs w:val="16"/>
              </w:rPr>
              <w:t>Calculated Avg</w:t>
            </w:r>
            <w:r w:rsidR="00863ED9">
              <w:rPr>
                <w:color w:val="000000"/>
                <w:sz w:val="16"/>
                <w:szCs w:val="16"/>
              </w:rPr>
              <w:t xml:space="preserve">.  </w:t>
            </w:r>
            <w:r w:rsidRPr="0073626C">
              <w:rPr>
                <w:color w:val="000000"/>
                <w:sz w:val="16"/>
                <w:szCs w:val="16"/>
              </w:rPr>
              <w:t>NO</w:t>
            </w:r>
            <w:r w:rsidRPr="0073626C">
              <w:rPr>
                <w:color w:val="000000"/>
                <w:sz w:val="16"/>
                <w:szCs w:val="16"/>
                <w:vertAlign w:val="subscript"/>
              </w:rPr>
              <w:t>x</w:t>
            </w:r>
            <w:r w:rsidRPr="0073626C">
              <w:rPr>
                <w:color w:val="000000"/>
                <w:sz w:val="16"/>
                <w:szCs w:val="16"/>
              </w:rPr>
              <w:t xml:space="preserve"> Rate (</w:t>
            </w:r>
            <w:proofErr w:type="spellStart"/>
            <w:r w:rsidRPr="0073626C">
              <w:rPr>
                <w:color w:val="000000"/>
                <w:sz w:val="16"/>
                <w:szCs w:val="16"/>
              </w:rPr>
              <w:t>lb</w:t>
            </w:r>
            <w:proofErr w:type="spellEnd"/>
            <w:r w:rsidRPr="0073626C">
              <w:rPr>
                <w:color w:val="000000"/>
                <w:sz w:val="16"/>
                <w:szCs w:val="16"/>
              </w:rPr>
              <w:t>/MMBtu)</w:t>
            </w:r>
          </w:p>
        </w:tc>
        <w:tc>
          <w:tcPr>
            <w:tcW w:w="327" w:type="pct"/>
            <w:tcBorders>
              <w:top w:val="single" w:sz="8" w:space="0" w:color="auto"/>
              <w:left w:val="nil"/>
              <w:bottom w:val="single" w:sz="8" w:space="0" w:color="auto"/>
              <w:right w:val="single" w:sz="4" w:space="0" w:color="auto"/>
            </w:tcBorders>
            <w:shd w:val="clear" w:color="auto" w:fill="auto"/>
            <w:vAlign w:val="center"/>
            <w:hideMark/>
          </w:tcPr>
          <w:p w14:paraId="56FAD8E6" w14:textId="23DF28FE" w:rsidR="00145692" w:rsidRPr="0073626C" w:rsidRDefault="00145692" w:rsidP="00D56B46">
            <w:pPr>
              <w:contextualSpacing/>
              <w:jc w:val="center"/>
              <w:rPr>
                <w:color w:val="000000"/>
                <w:sz w:val="16"/>
                <w:szCs w:val="16"/>
              </w:rPr>
            </w:pPr>
            <w:r w:rsidRPr="0073626C">
              <w:rPr>
                <w:color w:val="000000"/>
                <w:sz w:val="16"/>
                <w:szCs w:val="16"/>
              </w:rPr>
              <w:t>NO</w:t>
            </w:r>
            <w:r w:rsidRPr="0073626C">
              <w:rPr>
                <w:color w:val="000000"/>
                <w:sz w:val="16"/>
                <w:szCs w:val="16"/>
                <w:vertAlign w:val="subscript"/>
              </w:rPr>
              <w:t>x</w:t>
            </w:r>
            <w:r w:rsidRPr="0073626C">
              <w:rPr>
                <w:color w:val="000000"/>
                <w:sz w:val="16"/>
                <w:szCs w:val="16"/>
              </w:rPr>
              <w:t xml:space="preserve"> (tons)</w:t>
            </w:r>
          </w:p>
        </w:tc>
        <w:tc>
          <w:tcPr>
            <w:tcW w:w="297" w:type="pct"/>
            <w:tcBorders>
              <w:top w:val="single" w:sz="8" w:space="0" w:color="auto"/>
              <w:left w:val="nil"/>
              <w:bottom w:val="single" w:sz="8" w:space="0" w:color="auto"/>
              <w:right w:val="single" w:sz="4" w:space="0" w:color="auto"/>
            </w:tcBorders>
            <w:shd w:val="clear" w:color="auto" w:fill="auto"/>
            <w:vAlign w:val="center"/>
            <w:hideMark/>
          </w:tcPr>
          <w:p w14:paraId="705FD60E" w14:textId="4C1F0A52" w:rsidR="00145692" w:rsidRPr="0073626C" w:rsidRDefault="00145692" w:rsidP="00D56B46">
            <w:pPr>
              <w:contextualSpacing/>
              <w:jc w:val="center"/>
              <w:rPr>
                <w:color w:val="000000"/>
                <w:sz w:val="16"/>
                <w:szCs w:val="16"/>
              </w:rPr>
            </w:pPr>
            <w:r w:rsidRPr="0073626C">
              <w:rPr>
                <w:color w:val="000000"/>
                <w:sz w:val="16"/>
                <w:szCs w:val="16"/>
              </w:rPr>
              <w:t>NO</w:t>
            </w:r>
            <w:r w:rsidRPr="0073626C">
              <w:rPr>
                <w:color w:val="000000"/>
                <w:sz w:val="16"/>
                <w:szCs w:val="16"/>
                <w:vertAlign w:val="subscript"/>
              </w:rPr>
              <w:t>x</w:t>
            </w:r>
            <w:r w:rsidRPr="0073626C">
              <w:rPr>
                <w:color w:val="000000"/>
                <w:sz w:val="16"/>
                <w:szCs w:val="16"/>
              </w:rPr>
              <w:t xml:space="preserve"> Rank</w:t>
            </w:r>
          </w:p>
        </w:tc>
        <w:tc>
          <w:tcPr>
            <w:tcW w:w="489" w:type="pct"/>
            <w:tcBorders>
              <w:top w:val="single" w:sz="8" w:space="0" w:color="auto"/>
              <w:left w:val="nil"/>
              <w:bottom w:val="single" w:sz="8" w:space="0" w:color="auto"/>
              <w:right w:val="single" w:sz="4" w:space="0" w:color="auto"/>
            </w:tcBorders>
            <w:shd w:val="clear" w:color="auto" w:fill="auto"/>
            <w:vAlign w:val="center"/>
            <w:hideMark/>
          </w:tcPr>
          <w:p w14:paraId="27A3C382" w14:textId="55478B7E" w:rsidR="00145692" w:rsidRPr="0073626C" w:rsidRDefault="00145692" w:rsidP="00D56B46">
            <w:pPr>
              <w:contextualSpacing/>
              <w:jc w:val="center"/>
              <w:rPr>
                <w:color w:val="000000"/>
                <w:sz w:val="16"/>
                <w:szCs w:val="16"/>
              </w:rPr>
            </w:pPr>
            <w:r w:rsidRPr="0073626C">
              <w:rPr>
                <w:color w:val="000000"/>
                <w:sz w:val="16"/>
                <w:szCs w:val="16"/>
              </w:rPr>
              <w:t>CO</w:t>
            </w:r>
            <w:r w:rsidRPr="0073626C">
              <w:rPr>
                <w:color w:val="000000"/>
                <w:sz w:val="16"/>
                <w:szCs w:val="16"/>
                <w:vertAlign w:val="subscript"/>
              </w:rPr>
              <w:t>2</w:t>
            </w:r>
            <w:r w:rsidRPr="0073626C">
              <w:rPr>
                <w:color w:val="000000"/>
                <w:sz w:val="16"/>
                <w:szCs w:val="16"/>
              </w:rPr>
              <w:t xml:space="preserve"> (short tons)</w:t>
            </w:r>
          </w:p>
        </w:tc>
        <w:tc>
          <w:tcPr>
            <w:tcW w:w="297" w:type="pct"/>
            <w:tcBorders>
              <w:top w:val="single" w:sz="8" w:space="0" w:color="auto"/>
              <w:left w:val="nil"/>
              <w:bottom w:val="single" w:sz="8" w:space="0" w:color="auto"/>
              <w:right w:val="single" w:sz="4" w:space="0" w:color="auto"/>
            </w:tcBorders>
            <w:shd w:val="clear" w:color="auto" w:fill="auto"/>
            <w:vAlign w:val="center"/>
            <w:hideMark/>
          </w:tcPr>
          <w:p w14:paraId="509025C5" w14:textId="291E34DA" w:rsidR="00145692" w:rsidRPr="0073626C" w:rsidRDefault="00145692" w:rsidP="00D56B46">
            <w:pPr>
              <w:contextualSpacing/>
              <w:jc w:val="center"/>
              <w:rPr>
                <w:color w:val="000000"/>
                <w:sz w:val="16"/>
                <w:szCs w:val="16"/>
              </w:rPr>
            </w:pPr>
            <w:r w:rsidRPr="0073626C">
              <w:rPr>
                <w:color w:val="000000"/>
                <w:sz w:val="16"/>
                <w:szCs w:val="16"/>
              </w:rPr>
              <w:t>CO</w:t>
            </w:r>
            <w:r w:rsidRPr="0073626C">
              <w:rPr>
                <w:color w:val="000000"/>
                <w:sz w:val="16"/>
                <w:szCs w:val="16"/>
                <w:vertAlign w:val="subscript"/>
              </w:rPr>
              <w:t>2</w:t>
            </w:r>
            <w:r w:rsidRPr="0073626C">
              <w:rPr>
                <w:color w:val="000000"/>
                <w:sz w:val="16"/>
                <w:szCs w:val="16"/>
              </w:rPr>
              <w:t xml:space="preserve"> Rank</w:t>
            </w:r>
          </w:p>
        </w:tc>
        <w:tc>
          <w:tcPr>
            <w:tcW w:w="539" w:type="pct"/>
            <w:tcBorders>
              <w:top w:val="single" w:sz="8" w:space="0" w:color="auto"/>
              <w:left w:val="nil"/>
              <w:bottom w:val="single" w:sz="8" w:space="0" w:color="auto"/>
              <w:right w:val="single" w:sz="8" w:space="0" w:color="auto"/>
            </w:tcBorders>
            <w:shd w:val="clear" w:color="auto" w:fill="auto"/>
            <w:vAlign w:val="center"/>
            <w:hideMark/>
          </w:tcPr>
          <w:p w14:paraId="4505E4B6" w14:textId="1C7BFAF0" w:rsidR="00145692" w:rsidRPr="0073626C" w:rsidRDefault="00145692" w:rsidP="00D56B46">
            <w:pPr>
              <w:contextualSpacing/>
              <w:jc w:val="center"/>
              <w:rPr>
                <w:color w:val="000000"/>
                <w:sz w:val="16"/>
                <w:szCs w:val="16"/>
              </w:rPr>
            </w:pPr>
            <w:r w:rsidRPr="0073626C">
              <w:rPr>
                <w:color w:val="000000"/>
                <w:sz w:val="16"/>
                <w:szCs w:val="16"/>
              </w:rPr>
              <w:t>Heat Input (MMBtu)</w:t>
            </w:r>
          </w:p>
        </w:tc>
      </w:tr>
      <w:tr w:rsidR="00145692" w:rsidRPr="0073626C" w14:paraId="56D9DBC9" w14:textId="77777777" w:rsidTr="00145692">
        <w:trPr>
          <w:trHeight w:val="290"/>
        </w:trPr>
        <w:tc>
          <w:tcPr>
            <w:tcW w:w="268" w:type="pct"/>
            <w:tcBorders>
              <w:top w:val="nil"/>
              <w:left w:val="single" w:sz="8" w:space="0" w:color="auto"/>
              <w:bottom w:val="single" w:sz="4" w:space="0" w:color="auto"/>
              <w:right w:val="single" w:sz="4" w:space="0" w:color="auto"/>
            </w:tcBorders>
            <w:shd w:val="clear" w:color="auto" w:fill="auto"/>
            <w:noWrap/>
            <w:vAlign w:val="center"/>
            <w:hideMark/>
          </w:tcPr>
          <w:p w14:paraId="14640EE7" w14:textId="77777777" w:rsidR="00145692" w:rsidRPr="0073626C" w:rsidRDefault="00145692" w:rsidP="00D56B46">
            <w:pPr>
              <w:contextualSpacing/>
              <w:jc w:val="center"/>
              <w:rPr>
                <w:color w:val="000000"/>
                <w:sz w:val="16"/>
                <w:szCs w:val="16"/>
              </w:rPr>
            </w:pPr>
            <w:r w:rsidRPr="0073626C">
              <w:rPr>
                <w:color w:val="000000"/>
                <w:sz w:val="16"/>
                <w:szCs w:val="16"/>
              </w:rPr>
              <w:t>1</w:t>
            </w:r>
          </w:p>
        </w:tc>
        <w:tc>
          <w:tcPr>
            <w:tcW w:w="491" w:type="pct"/>
            <w:tcBorders>
              <w:top w:val="nil"/>
              <w:left w:val="nil"/>
              <w:bottom w:val="single" w:sz="4" w:space="0" w:color="auto"/>
              <w:right w:val="single" w:sz="4" w:space="0" w:color="auto"/>
            </w:tcBorders>
            <w:shd w:val="clear" w:color="auto" w:fill="auto"/>
            <w:noWrap/>
            <w:vAlign w:val="center"/>
            <w:hideMark/>
          </w:tcPr>
          <w:p w14:paraId="5D9C7494" w14:textId="20A8AF8B" w:rsidR="00145692" w:rsidRPr="0073626C" w:rsidRDefault="00145692" w:rsidP="00D56B46">
            <w:pPr>
              <w:contextualSpacing/>
              <w:jc w:val="center"/>
              <w:rPr>
                <w:color w:val="000000"/>
                <w:sz w:val="16"/>
                <w:szCs w:val="16"/>
              </w:rPr>
            </w:pPr>
            <w:r w:rsidRPr="0073626C">
              <w:rPr>
                <w:color w:val="000000"/>
                <w:sz w:val="16"/>
                <w:szCs w:val="16"/>
              </w:rPr>
              <w:t>4,797</w:t>
            </w:r>
          </w:p>
        </w:tc>
        <w:tc>
          <w:tcPr>
            <w:tcW w:w="531" w:type="pct"/>
            <w:tcBorders>
              <w:top w:val="nil"/>
              <w:left w:val="nil"/>
              <w:bottom w:val="single" w:sz="4" w:space="0" w:color="auto"/>
              <w:right w:val="single" w:sz="4" w:space="0" w:color="auto"/>
            </w:tcBorders>
            <w:shd w:val="clear" w:color="auto" w:fill="auto"/>
            <w:noWrap/>
            <w:vAlign w:val="center"/>
            <w:hideMark/>
          </w:tcPr>
          <w:p w14:paraId="5631489A" w14:textId="318F974A" w:rsidR="00145692" w:rsidRPr="0073626C" w:rsidRDefault="00145692" w:rsidP="00D56B46">
            <w:pPr>
              <w:contextualSpacing/>
              <w:jc w:val="center"/>
              <w:rPr>
                <w:color w:val="000000"/>
                <w:sz w:val="16"/>
                <w:szCs w:val="16"/>
              </w:rPr>
            </w:pPr>
            <w:r w:rsidRPr="0073626C">
              <w:rPr>
                <w:color w:val="000000"/>
                <w:sz w:val="16"/>
                <w:szCs w:val="16"/>
              </w:rPr>
              <w:t>621,369</w:t>
            </w:r>
          </w:p>
        </w:tc>
        <w:tc>
          <w:tcPr>
            <w:tcW w:w="327" w:type="pct"/>
            <w:tcBorders>
              <w:top w:val="nil"/>
              <w:left w:val="nil"/>
              <w:bottom w:val="single" w:sz="4" w:space="0" w:color="auto"/>
              <w:right w:val="single" w:sz="4" w:space="0" w:color="auto"/>
            </w:tcBorders>
            <w:shd w:val="clear" w:color="auto" w:fill="auto"/>
            <w:noWrap/>
            <w:vAlign w:val="center"/>
            <w:hideMark/>
          </w:tcPr>
          <w:p w14:paraId="3BBB18EF" w14:textId="15E43EB0" w:rsidR="00145692" w:rsidRPr="0073626C" w:rsidRDefault="00145692" w:rsidP="00D56B46">
            <w:pPr>
              <w:contextualSpacing/>
              <w:jc w:val="center"/>
              <w:rPr>
                <w:color w:val="000000"/>
                <w:sz w:val="16"/>
                <w:szCs w:val="16"/>
              </w:rPr>
            </w:pPr>
            <w:r w:rsidRPr="0073626C">
              <w:rPr>
                <w:color w:val="000000"/>
                <w:sz w:val="16"/>
                <w:szCs w:val="16"/>
              </w:rPr>
              <w:t>1,646</w:t>
            </w:r>
          </w:p>
        </w:tc>
        <w:tc>
          <w:tcPr>
            <w:tcW w:w="297" w:type="pct"/>
            <w:tcBorders>
              <w:top w:val="nil"/>
              <w:left w:val="nil"/>
              <w:bottom w:val="single" w:sz="4" w:space="0" w:color="auto"/>
              <w:right w:val="single" w:sz="4" w:space="0" w:color="auto"/>
            </w:tcBorders>
            <w:shd w:val="clear" w:color="auto" w:fill="auto"/>
            <w:noWrap/>
            <w:vAlign w:val="center"/>
            <w:hideMark/>
          </w:tcPr>
          <w:p w14:paraId="13B84C43" w14:textId="38B3CDD6" w:rsidR="00145692" w:rsidRPr="0073626C" w:rsidRDefault="00145692" w:rsidP="00D56B46">
            <w:pPr>
              <w:contextualSpacing/>
              <w:jc w:val="center"/>
              <w:rPr>
                <w:color w:val="000000"/>
                <w:sz w:val="16"/>
                <w:szCs w:val="16"/>
              </w:rPr>
            </w:pPr>
            <w:r w:rsidRPr="0073626C">
              <w:rPr>
                <w:color w:val="000000"/>
                <w:sz w:val="16"/>
                <w:szCs w:val="16"/>
              </w:rPr>
              <w:t>152</w:t>
            </w:r>
          </w:p>
        </w:tc>
        <w:tc>
          <w:tcPr>
            <w:tcW w:w="569" w:type="pct"/>
            <w:tcBorders>
              <w:top w:val="nil"/>
              <w:left w:val="nil"/>
              <w:bottom w:val="single" w:sz="4" w:space="0" w:color="auto"/>
              <w:right w:val="single" w:sz="4" w:space="0" w:color="auto"/>
            </w:tcBorders>
            <w:shd w:val="clear" w:color="auto" w:fill="auto"/>
            <w:noWrap/>
            <w:vAlign w:val="center"/>
            <w:hideMark/>
          </w:tcPr>
          <w:p w14:paraId="20526C1A" w14:textId="5B0C831C" w:rsidR="00145692" w:rsidRPr="0073626C" w:rsidRDefault="00145692" w:rsidP="00D56B46">
            <w:pPr>
              <w:contextualSpacing/>
              <w:jc w:val="center"/>
              <w:rPr>
                <w:color w:val="000000"/>
                <w:sz w:val="16"/>
                <w:szCs w:val="16"/>
              </w:rPr>
            </w:pPr>
            <w:r w:rsidRPr="0073626C">
              <w:rPr>
                <w:color w:val="000000"/>
                <w:sz w:val="16"/>
                <w:szCs w:val="16"/>
              </w:rPr>
              <w:t>0.577</w:t>
            </w:r>
          </w:p>
        </w:tc>
        <w:tc>
          <w:tcPr>
            <w:tcW w:w="569" w:type="pct"/>
            <w:tcBorders>
              <w:top w:val="nil"/>
              <w:left w:val="nil"/>
              <w:bottom w:val="single" w:sz="4" w:space="0" w:color="auto"/>
              <w:right w:val="single" w:sz="4" w:space="0" w:color="auto"/>
            </w:tcBorders>
            <w:shd w:val="clear" w:color="auto" w:fill="auto"/>
            <w:noWrap/>
            <w:vAlign w:val="center"/>
            <w:hideMark/>
          </w:tcPr>
          <w:p w14:paraId="1509D90C" w14:textId="72B80BE9" w:rsidR="00145692" w:rsidRPr="0073626C" w:rsidRDefault="00145692" w:rsidP="00D56B46">
            <w:pPr>
              <w:contextualSpacing/>
              <w:jc w:val="center"/>
              <w:rPr>
                <w:color w:val="000000"/>
                <w:sz w:val="16"/>
                <w:szCs w:val="16"/>
              </w:rPr>
            </w:pPr>
            <w:r w:rsidRPr="0073626C">
              <w:rPr>
                <w:color w:val="000000"/>
                <w:sz w:val="16"/>
                <w:szCs w:val="16"/>
              </w:rPr>
              <w:t>0.329</w:t>
            </w:r>
          </w:p>
        </w:tc>
        <w:tc>
          <w:tcPr>
            <w:tcW w:w="327" w:type="pct"/>
            <w:tcBorders>
              <w:top w:val="nil"/>
              <w:left w:val="nil"/>
              <w:bottom w:val="single" w:sz="4" w:space="0" w:color="auto"/>
              <w:right w:val="single" w:sz="4" w:space="0" w:color="auto"/>
            </w:tcBorders>
            <w:shd w:val="clear" w:color="auto" w:fill="auto"/>
            <w:noWrap/>
            <w:vAlign w:val="center"/>
            <w:hideMark/>
          </w:tcPr>
          <w:p w14:paraId="35D84C4B" w14:textId="3B95ADC2" w:rsidR="00145692" w:rsidRPr="0073626C" w:rsidRDefault="00145692" w:rsidP="00D56B46">
            <w:pPr>
              <w:contextualSpacing/>
              <w:jc w:val="center"/>
              <w:rPr>
                <w:color w:val="000000"/>
                <w:sz w:val="16"/>
                <w:szCs w:val="16"/>
              </w:rPr>
            </w:pPr>
            <w:r w:rsidRPr="0073626C">
              <w:rPr>
                <w:color w:val="000000"/>
                <w:sz w:val="16"/>
                <w:szCs w:val="16"/>
              </w:rPr>
              <w:t>938</w:t>
            </w:r>
          </w:p>
        </w:tc>
        <w:tc>
          <w:tcPr>
            <w:tcW w:w="297" w:type="pct"/>
            <w:tcBorders>
              <w:top w:val="nil"/>
              <w:left w:val="nil"/>
              <w:bottom w:val="single" w:sz="4" w:space="0" w:color="auto"/>
              <w:right w:val="single" w:sz="4" w:space="0" w:color="auto"/>
            </w:tcBorders>
            <w:shd w:val="clear" w:color="auto" w:fill="auto"/>
            <w:noWrap/>
            <w:vAlign w:val="center"/>
            <w:hideMark/>
          </w:tcPr>
          <w:p w14:paraId="45F3B628" w14:textId="0DBC300F" w:rsidR="00145692" w:rsidRPr="0073626C" w:rsidRDefault="00145692" w:rsidP="00D56B46">
            <w:pPr>
              <w:contextualSpacing/>
              <w:jc w:val="center"/>
              <w:rPr>
                <w:color w:val="000000"/>
                <w:sz w:val="16"/>
                <w:szCs w:val="16"/>
              </w:rPr>
            </w:pPr>
            <w:r w:rsidRPr="0073626C">
              <w:rPr>
                <w:color w:val="000000"/>
                <w:sz w:val="16"/>
                <w:szCs w:val="16"/>
              </w:rPr>
              <w:t>254</w:t>
            </w:r>
          </w:p>
        </w:tc>
        <w:tc>
          <w:tcPr>
            <w:tcW w:w="489" w:type="pct"/>
            <w:tcBorders>
              <w:top w:val="nil"/>
              <w:left w:val="nil"/>
              <w:bottom w:val="single" w:sz="4" w:space="0" w:color="auto"/>
              <w:right w:val="single" w:sz="4" w:space="0" w:color="auto"/>
            </w:tcBorders>
            <w:shd w:val="clear" w:color="auto" w:fill="auto"/>
            <w:noWrap/>
            <w:vAlign w:val="center"/>
            <w:hideMark/>
          </w:tcPr>
          <w:p w14:paraId="319FFF5D" w14:textId="313D1E71" w:rsidR="00145692" w:rsidRPr="0073626C" w:rsidRDefault="00145692" w:rsidP="00D56B46">
            <w:pPr>
              <w:contextualSpacing/>
              <w:jc w:val="center"/>
              <w:rPr>
                <w:color w:val="000000"/>
                <w:sz w:val="16"/>
                <w:szCs w:val="16"/>
              </w:rPr>
            </w:pPr>
            <w:r w:rsidRPr="0073626C">
              <w:rPr>
                <w:color w:val="000000"/>
                <w:sz w:val="16"/>
                <w:szCs w:val="16"/>
              </w:rPr>
              <w:t>598,297</w:t>
            </w:r>
          </w:p>
        </w:tc>
        <w:tc>
          <w:tcPr>
            <w:tcW w:w="297" w:type="pct"/>
            <w:tcBorders>
              <w:top w:val="nil"/>
              <w:left w:val="nil"/>
              <w:bottom w:val="single" w:sz="4" w:space="0" w:color="auto"/>
              <w:right w:val="single" w:sz="4" w:space="0" w:color="auto"/>
            </w:tcBorders>
            <w:shd w:val="clear" w:color="auto" w:fill="auto"/>
            <w:noWrap/>
            <w:vAlign w:val="center"/>
            <w:hideMark/>
          </w:tcPr>
          <w:p w14:paraId="62145CAA" w14:textId="087D4D67" w:rsidR="00145692" w:rsidRPr="0073626C" w:rsidRDefault="00145692" w:rsidP="00D56B46">
            <w:pPr>
              <w:contextualSpacing/>
              <w:jc w:val="center"/>
              <w:rPr>
                <w:color w:val="000000"/>
                <w:sz w:val="16"/>
                <w:szCs w:val="16"/>
              </w:rPr>
            </w:pPr>
            <w:r w:rsidRPr="0073626C">
              <w:rPr>
                <w:color w:val="000000"/>
                <w:sz w:val="16"/>
                <w:szCs w:val="16"/>
              </w:rPr>
              <w:t>867</w:t>
            </w:r>
          </w:p>
        </w:tc>
        <w:tc>
          <w:tcPr>
            <w:tcW w:w="539" w:type="pct"/>
            <w:tcBorders>
              <w:top w:val="nil"/>
              <w:left w:val="nil"/>
              <w:bottom w:val="single" w:sz="4" w:space="0" w:color="auto"/>
              <w:right w:val="single" w:sz="8" w:space="0" w:color="auto"/>
            </w:tcBorders>
            <w:shd w:val="clear" w:color="auto" w:fill="auto"/>
            <w:noWrap/>
            <w:vAlign w:val="center"/>
            <w:hideMark/>
          </w:tcPr>
          <w:p w14:paraId="4233C358" w14:textId="42969BE1" w:rsidR="00145692" w:rsidRPr="0073626C" w:rsidRDefault="00145692" w:rsidP="00D56B46">
            <w:pPr>
              <w:contextualSpacing/>
              <w:jc w:val="center"/>
              <w:rPr>
                <w:color w:val="000000"/>
                <w:sz w:val="16"/>
                <w:szCs w:val="16"/>
              </w:rPr>
            </w:pPr>
            <w:r w:rsidRPr="0073626C">
              <w:rPr>
                <w:color w:val="000000"/>
                <w:sz w:val="16"/>
                <w:szCs w:val="16"/>
              </w:rPr>
              <w:t>5,704,571</w:t>
            </w:r>
          </w:p>
        </w:tc>
      </w:tr>
      <w:tr w:rsidR="00145692" w:rsidRPr="0073626C" w14:paraId="59AF910D" w14:textId="77777777" w:rsidTr="00145692">
        <w:trPr>
          <w:trHeight w:val="300"/>
        </w:trPr>
        <w:tc>
          <w:tcPr>
            <w:tcW w:w="268" w:type="pct"/>
            <w:tcBorders>
              <w:top w:val="nil"/>
              <w:left w:val="single" w:sz="8" w:space="0" w:color="auto"/>
              <w:bottom w:val="single" w:sz="8" w:space="0" w:color="auto"/>
              <w:right w:val="single" w:sz="4" w:space="0" w:color="auto"/>
            </w:tcBorders>
            <w:shd w:val="clear" w:color="auto" w:fill="auto"/>
            <w:noWrap/>
            <w:vAlign w:val="center"/>
            <w:hideMark/>
          </w:tcPr>
          <w:p w14:paraId="7ED19F88" w14:textId="77777777" w:rsidR="00145692" w:rsidRPr="0073626C" w:rsidRDefault="00145692" w:rsidP="00D56B46">
            <w:pPr>
              <w:contextualSpacing/>
              <w:jc w:val="center"/>
              <w:rPr>
                <w:color w:val="000000"/>
                <w:sz w:val="16"/>
                <w:szCs w:val="16"/>
              </w:rPr>
            </w:pPr>
            <w:r w:rsidRPr="0073626C">
              <w:rPr>
                <w:color w:val="000000"/>
                <w:sz w:val="16"/>
                <w:szCs w:val="16"/>
              </w:rPr>
              <w:t>2</w:t>
            </w:r>
          </w:p>
        </w:tc>
        <w:tc>
          <w:tcPr>
            <w:tcW w:w="491" w:type="pct"/>
            <w:tcBorders>
              <w:top w:val="nil"/>
              <w:left w:val="nil"/>
              <w:bottom w:val="single" w:sz="8" w:space="0" w:color="auto"/>
              <w:right w:val="single" w:sz="4" w:space="0" w:color="auto"/>
            </w:tcBorders>
            <w:shd w:val="clear" w:color="auto" w:fill="auto"/>
            <w:noWrap/>
            <w:vAlign w:val="center"/>
            <w:hideMark/>
          </w:tcPr>
          <w:p w14:paraId="4AE22BBA" w14:textId="00AFF18C" w:rsidR="00145692" w:rsidRPr="0073626C" w:rsidRDefault="00145692" w:rsidP="00D56B46">
            <w:pPr>
              <w:contextualSpacing/>
              <w:jc w:val="center"/>
              <w:rPr>
                <w:color w:val="000000"/>
                <w:sz w:val="16"/>
                <w:szCs w:val="16"/>
              </w:rPr>
            </w:pPr>
            <w:r w:rsidRPr="0073626C">
              <w:rPr>
                <w:color w:val="000000"/>
                <w:sz w:val="16"/>
                <w:szCs w:val="16"/>
              </w:rPr>
              <w:t>6,668</w:t>
            </w:r>
          </w:p>
        </w:tc>
        <w:tc>
          <w:tcPr>
            <w:tcW w:w="531" w:type="pct"/>
            <w:tcBorders>
              <w:top w:val="nil"/>
              <w:left w:val="nil"/>
              <w:bottom w:val="single" w:sz="8" w:space="0" w:color="auto"/>
              <w:right w:val="single" w:sz="4" w:space="0" w:color="auto"/>
            </w:tcBorders>
            <w:shd w:val="clear" w:color="auto" w:fill="auto"/>
            <w:noWrap/>
            <w:vAlign w:val="center"/>
            <w:hideMark/>
          </w:tcPr>
          <w:p w14:paraId="61B45A35" w14:textId="3463621B" w:rsidR="00145692" w:rsidRPr="0073626C" w:rsidRDefault="00145692" w:rsidP="00D56B46">
            <w:pPr>
              <w:contextualSpacing/>
              <w:jc w:val="center"/>
              <w:rPr>
                <w:color w:val="000000"/>
                <w:sz w:val="16"/>
                <w:szCs w:val="16"/>
              </w:rPr>
            </w:pPr>
            <w:r w:rsidRPr="0073626C">
              <w:rPr>
                <w:color w:val="000000"/>
                <w:sz w:val="16"/>
                <w:szCs w:val="16"/>
              </w:rPr>
              <w:t>1,177,825</w:t>
            </w:r>
          </w:p>
        </w:tc>
        <w:tc>
          <w:tcPr>
            <w:tcW w:w="327" w:type="pct"/>
            <w:tcBorders>
              <w:top w:val="nil"/>
              <w:left w:val="nil"/>
              <w:bottom w:val="single" w:sz="8" w:space="0" w:color="auto"/>
              <w:right w:val="single" w:sz="4" w:space="0" w:color="auto"/>
            </w:tcBorders>
            <w:shd w:val="clear" w:color="auto" w:fill="auto"/>
            <w:noWrap/>
            <w:vAlign w:val="center"/>
            <w:hideMark/>
          </w:tcPr>
          <w:p w14:paraId="5EF582B6" w14:textId="106CA335" w:rsidR="00145692" w:rsidRPr="0073626C" w:rsidRDefault="00145692" w:rsidP="00D56B46">
            <w:pPr>
              <w:contextualSpacing/>
              <w:jc w:val="center"/>
              <w:rPr>
                <w:color w:val="000000"/>
                <w:sz w:val="16"/>
                <w:szCs w:val="16"/>
              </w:rPr>
            </w:pPr>
            <w:r w:rsidRPr="0073626C">
              <w:rPr>
                <w:color w:val="000000"/>
                <w:sz w:val="16"/>
                <w:szCs w:val="16"/>
              </w:rPr>
              <w:t>747</w:t>
            </w:r>
          </w:p>
        </w:tc>
        <w:tc>
          <w:tcPr>
            <w:tcW w:w="297" w:type="pct"/>
            <w:tcBorders>
              <w:top w:val="nil"/>
              <w:left w:val="nil"/>
              <w:bottom w:val="single" w:sz="8" w:space="0" w:color="auto"/>
              <w:right w:val="single" w:sz="4" w:space="0" w:color="auto"/>
            </w:tcBorders>
            <w:shd w:val="clear" w:color="auto" w:fill="auto"/>
            <w:noWrap/>
            <w:vAlign w:val="center"/>
            <w:hideMark/>
          </w:tcPr>
          <w:p w14:paraId="0BA469B2" w14:textId="3783F38A" w:rsidR="00145692" w:rsidRPr="0073626C" w:rsidRDefault="00145692" w:rsidP="00D56B46">
            <w:pPr>
              <w:contextualSpacing/>
              <w:jc w:val="center"/>
              <w:rPr>
                <w:color w:val="000000"/>
                <w:sz w:val="16"/>
                <w:szCs w:val="16"/>
              </w:rPr>
            </w:pPr>
            <w:r w:rsidRPr="0073626C">
              <w:rPr>
                <w:color w:val="000000"/>
                <w:sz w:val="16"/>
                <w:szCs w:val="16"/>
              </w:rPr>
              <w:t>279</w:t>
            </w:r>
          </w:p>
        </w:tc>
        <w:tc>
          <w:tcPr>
            <w:tcW w:w="569" w:type="pct"/>
            <w:tcBorders>
              <w:top w:val="nil"/>
              <w:left w:val="nil"/>
              <w:bottom w:val="single" w:sz="8" w:space="0" w:color="auto"/>
              <w:right w:val="single" w:sz="4" w:space="0" w:color="auto"/>
            </w:tcBorders>
            <w:shd w:val="clear" w:color="auto" w:fill="auto"/>
            <w:noWrap/>
            <w:vAlign w:val="center"/>
            <w:hideMark/>
          </w:tcPr>
          <w:p w14:paraId="3D778285" w14:textId="3CDE49FA" w:rsidR="00145692" w:rsidRPr="0073626C" w:rsidRDefault="00145692" w:rsidP="00D56B46">
            <w:pPr>
              <w:contextualSpacing/>
              <w:jc w:val="center"/>
              <w:rPr>
                <w:color w:val="000000"/>
                <w:sz w:val="16"/>
                <w:szCs w:val="16"/>
              </w:rPr>
            </w:pPr>
            <w:r w:rsidRPr="0073626C">
              <w:rPr>
                <w:color w:val="000000"/>
                <w:sz w:val="16"/>
                <w:szCs w:val="16"/>
              </w:rPr>
              <w:t>0.131</w:t>
            </w:r>
          </w:p>
        </w:tc>
        <w:tc>
          <w:tcPr>
            <w:tcW w:w="569" w:type="pct"/>
            <w:tcBorders>
              <w:top w:val="nil"/>
              <w:left w:val="nil"/>
              <w:bottom w:val="single" w:sz="8" w:space="0" w:color="auto"/>
              <w:right w:val="single" w:sz="4" w:space="0" w:color="auto"/>
            </w:tcBorders>
            <w:shd w:val="clear" w:color="auto" w:fill="auto"/>
            <w:noWrap/>
            <w:vAlign w:val="center"/>
            <w:hideMark/>
          </w:tcPr>
          <w:p w14:paraId="2CD6EC47" w14:textId="50A5927B" w:rsidR="00145692" w:rsidRPr="0073626C" w:rsidRDefault="00145692" w:rsidP="00D56B46">
            <w:pPr>
              <w:contextualSpacing/>
              <w:jc w:val="center"/>
              <w:rPr>
                <w:color w:val="000000"/>
                <w:sz w:val="16"/>
                <w:szCs w:val="16"/>
              </w:rPr>
            </w:pPr>
            <w:r w:rsidRPr="0073626C">
              <w:rPr>
                <w:color w:val="000000"/>
                <w:sz w:val="16"/>
                <w:szCs w:val="16"/>
              </w:rPr>
              <w:t>0.256</w:t>
            </w:r>
          </w:p>
        </w:tc>
        <w:tc>
          <w:tcPr>
            <w:tcW w:w="327" w:type="pct"/>
            <w:tcBorders>
              <w:top w:val="nil"/>
              <w:left w:val="nil"/>
              <w:bottom w:val="single" w:sz="8" w:space="0" w:color="auto"/>
              <w:right w:val="single" w:sz="4" w:space="0" w:color="auto"/>
            </w:tcBorders>
            <w:shd w:val="clear" w:color="auto" w:fill="auto"/>
            <w:noWrap/>
            <w:vAlign w:val="center"/>
            <w:hideMark/>
          </w:tcPr>
          <w:p w14:paraId="4C332FF7" w14:textId="18B25C70" w:rsidR="00145692" w:rsidRPr="0073626C" w:rsidRDefault="00145692" w:rsidP="00D56B46">
            <w:pPr>
              <w:contextualSpacing/>
              <w:jc w:val="center"/>
              <w:rPr>
                <w:color w:val="000000"/>
                <w:sz w:val="16"/>
                <w:szCs w:val="16"/>
              </w:rPr>
            </w:pPr>
            <w:r w:rsidRPr="0073626C">
              <w:rPr>
                <w:color w:val="000000"/>
                <w:sz w:val="16"/>
                <w:szCs w:val="16"/>
              </w:rPr>
              <w:t>1,455</w:t>
            </w:r>
          </w:p>
        </w:tc>
        <w:tc>
          <w:tcPr>
            <w:tcW w:w="297" w:type="pct"/>
            <w:tcBorders>
              <w:top w:val="nil"/>
              <w:left w:val="nil"/>
              <w:bottom w:val="single" w:sz="8" w:space="0" w:color="auto"/>
              <w:right w:val="single" w:sz="4" w:space="0" w:color="auto"/>
            </w:tcBorders>
            <w:shd w:val="clear" w:color="auto" w:fill="auto"/>
            <w:noWrap/>
            <w:vAlign w:val="center"/>
            <w:hideMark/>
          </w:tcPr>
          <w:p w14:paraId="62C3FE34" w14:textId="0DB6C772" w:rsidR="00145692" w:rsidRPr="0073626C" w:rsidRDefault="00145692" w:rsidP="00D56B46">
            <w:pPr>
              <w:contextualSpacing/>
              <w:jc w:val="center"/>
              <w:rPr>
                <w:color w:val="000000"/>
                <w:sz w:val="16"/>
                <w:szCs w:val="16"/>
              </w:rPr>
            </w:pPr>
            <w:r w:rsidRPr="0073626C">
              <w:rPr>
                <w:color w:val="000000"/>
                <w:sz w:val="16"/>
                <w:szCs w:val="16"/>
              </w:rPr>
              <w:t>147</w:t>
            </w:r>
          </w:p>
        </w:tc>
        <w:tc>
          <w:tcPr>
            <w:tcW w:w="489" w:type="pct"/>
            <w:tcBorders>
              <w:top w:val="nil"/>
              <w:left w:val="nil"/>
              <w:bottom w:val="single" w:sz="8" w:space="0" w:color="auto"/>
              <w:right w:val="single" w:sz="4" w:space="0" w:color="auto"/>
            </w:tcBorders>
            <w:shd w:val="clear" w:color="auto" w:fill="auto"/>
            <w:noWrap/>
            <w:vAlign w:val="center"/>
            <w:hideMark/>
          </w:tcPr>
          <w:p w14:paraId="13FC0B2D" w14:textId="11F802A8" w:rsidR="00145692" w:rsidRPr="0073626C" w:rsidRDefault="00145692" w:rsidP="00D56B46">
            <w:pPr>
              <w:contextualSpacing/>
              <w:jc w:val="center"/>
              <w:rPr>
                <w:color w:val="000000"/>
                <w:sz w:val="16"/>
                <w:szCs w:val="16"/>
              </w:rPr>
            </w:pPr>
            <w:r w:rsidRPr="0073626C">
              <w:rPr>
                <w:color w:val="000000"/>
                <w:sz w:val="16"/>
                <w:szCs w:val="16"/>
              </w:rPr>
              <w:t>1,193,194</w:t>
            </w:r>
          </w:p>
        </w:tc>
        <w:tc>
          <w:tcPr>
            <w:tcW w:w="297" w:type="pct"/>
            <w:tcBorders>
              <w:top w:val="nil"/>
              <w:left w:val="nil"/>
              <w:bottom w:val="single" w:sz="8" w:space="0" w:color="auto"/>
              <w:right w:val="single" w:sz="4" w:space="0" w:color="auto"/>
            </w:tcBorders>
            <w:shd w:val="clear" w:color="auto" w:fill="auto"/>
            <w:noWrap/>
            <w:vAlign w:val="center"/>
            <w:hideMark/>
          </w:tcPr>
          <w:p w14:paraId="4745819B" w14:textId="48A1528E" w:rsidR="00145692" w:rsidRPr="0073626C" w:rsidRDefault="00145692" w:rsidP="00D56B46">
            <w:pPr>
              <w:contextualSpacing/>
              <w:jc w:val="center"/>
              <w:rPr>
                <w:color w:val="000000"/>
                <w:sz w:val="16"/>
                <w:szCs w:val="16"/>
              </w:rPr>
            </w:pPr>
            <w:r w:rsidRPr="0073626C">
              <w:rPr>
                <w:color w:val="000000"/>
                <w:sz w:val="16"/>
                <w:szCs w:val="16"/>
              </w:rPr>
              <w:t>348</w:t>
            </w:r>
          </w:p>
        </w:tc>
        <w:tc>
          <w:tcPr>
            <w:tcW w:w="539" w:type="pct"/>
            <w:tcBorders>
              <w:top w:val="nil"/>
              <w:left w:val="nil"/>
              <w:bottom w:val="single" w:sz="8" w:space="0" w:color="auto"/>
              <w:right w:val="single" w:sz="8" w:space="0" w:color="auto"/>
            </w:tcBorders>
            <w:shd w:val="clear" w:color="auto" w:fill="auto"/>
            <w:noWrap/>
            <w:vAlign w:val="center"/>
            <w:hideMark/>
          </w:tcPr>
          <w:p w14:paraId="508A035B" w14:textId="5773F10F" w:rsidR="00145692" w:rsidRPr="0073626C" w:rsidRDefault="00145692" w:rsidP="00D56B46">
            <w:pPr>
              <w:contextualSpacing/>
              <w:jc w:val="center"/>
              <w:rPr>
                <w:color w:val="000000"/>
                <w:sz w:val="16"/>
                <w:szCs w:val="16"/>
              </w:rPr>
            </w:pPr>
            <w:r w:rsidRPr="0073626C">
              <w:rPr>
                <w:color w:val="000000"/>
                <w:sz w:val="16"/>
                <w:szCs w:val="16"/>
              </w:rPr>
              <w:t>11,376,761</w:t>
            </w:r>
          </w:p>
        </w:tc>
      </w:tr>
    </w:tbl>
    <w:p w14:paraId="789AAAB2" w14:textId="77777777" w:rsidR="00736669" w:rsidRDefault="00736669" w:rsidP="00736669"/>
    <w:p w14:paraId="7F3EFC4D" w14:textId="6229CC97" w:rsidR="005937AC" w:rsidRPr="00396581" w:rsidRDefault="002663AA" w:rsidP="008B490A">
      <w:pPr>
        <w:pStyle w:val="Heading2"/>
      </w:pPr>
      <w:bookmarkStart w:id="16" w:name="_Toc109058120"/>
      <w:r w:rsidRPr="00396581">
        <w:t>Evaluation of the Clean Air Act Statutory Factors at North Valmy</w:t>
      </w:r>
      <w:bookmarkEnd w:id="16"/>
    </w:p>
    <w:p w14:paraId="16150595" w14:textId="5FD0B05E" w:rsidR="0053026D" w:rsidRPr="00396581" w:rsidRDefault="0053026D" w:rsidP="00394D49">
      <w:pPr>
        <w:pStyle w:val="Heading3"/>
      </w:pPr>
      <w:r w:rsidRPr="00396581">
        <w:t>Remaining Useful Life</w:t>
      </w:r>
    </w:p>
    <w:p w14:paraId="3F83E724" w14:textId="0B98113A" w:rsidR="0053026D" w:rsidRPr="00396581" w:rsidRDefault="0053026D" w:rsidP="00D56B46">
      <w:pPr>
        <w:tabs>
          <w:tab w:val="left" w:pos="1118"/>
        </w:tabs>
        <w:contextualSpacing/>
      </w:pPr>
      <w:r w:rsidRPr="00396581">
        <w:t>N</w:t>
      </w:r>
      <w:r w:rsidR="004F6DA9" w:rsidRPr="00396581">
        <w:t>evada</w:t>
      </w:r>
      <w:r w:rsidRPr="00396581">
        <w:t xml:space="preserve"> Energy has committed to cease operations and shutdown both electrical generating units (EGUs) at North Valmy by December 31, 2028</w:t>
      </w:r>
      <w:r w:rsidR="00863ED9">
        <w:t xml:space="preserve">.  </w:t>
      </w:r>
      <w:r w:rsidRPr="00396581">
        <w:t>For this reason, the remaining useful life of these emission units becomes a critical statutory factor that also drives the cost of compliance statutory factor</w:t>
      </w:r>
      <w:r w:rsidR="00863ED9">
        <w:t xml:space="preserve">.  </w:t>
      </w:r>
      <w:proofErr w:type="gramStart"/>
      <w:r w:rsidRPr="00396581">
        <w:t xml:space="preserve">With this in mind, </w:t>
      </w:r>
      <w:r w:rsidR="00933DEA">
        <w:t>the</w:t>
      </w:r>
      <w:proofErr w:type="gramEnd"/>
      <w:r w:rsidR="00933DEA">
        <w:t xml:space="preserve"> NPS</w:t>
      </w:r>
      <w:r w:rsidRPr="00396581">
        <w:t xml:space="preserve"> evaluated addition of Dry Sorbent Injection (DSI), scrubber upgrades, and Selective Non-Catalytic reduction (SNCR), which have relatively low capital costs and can be installed in a relatively short time</w:t>
      </w:r>
      <w:r w:rsidR="00863ED9">
        <w:t xml:space="preserve">.  </w:t>
      </w:r>
      <w:r w:rsidRPr="00396581">
        <w:t xml:space="preserve">As a result, </w:t>
      </w:r>
      <w:r w:rsidR="00863ED9">
        <w:t xml:space="preserve">we can assume </w:t>
      </w:r>
      <w:r w:rsidRPr="00396581">
        <w:t xml:space="preserve">a remaining useful life of </w:t>
      </w:r>
      <w:r w:rsidR="00145692" w:rsidRPr="00396581">
        <w:t xml:space="preserve">four years </w:t>
      </w:r>
      <w:r w:rsidRPr="00396581">
        <w:t>for these control technologies</w:t>
      </w:r>
      <w:r w:rsidR="00863ED9">
        <w:t>,</w:t>
      </w:r>
      <w:r w:rsidR="0065528E">
        <w:t xml:space="preserve"> </w:t>
      </w:r>
      <w:r w:rsidR="00863ED9">
        <w:t xml:space="preserve">which is </w:t>
      </w:r>
      <w:r w:rsidR="0065528E">
        <w:t xml:space="preserve">consistent with </w:t>
      </w:r>
      <w:r w:rsidR="0065528E" w:rsidRPr="00396581">
        <w:t>NDEP</w:t>
      </w:r>
      <w:r w:rsidRPr="00396581">
        <w:t>.</w:t>
      </w:r>
    </w:p>
    <w:p w14:paraId="3F454C5D" w14:textId="0AD8DFF4" w:rsidR="0053026D" w:rsidRPr="00396581" w:rsidRDefault="0053026D" w:rsidP="00394D49">
      <w:pPr>
        <w:pStyle w:val="Heading3"/>
      </w:pPr>
      <w:r w:rsidRPr="00396581">
        <w:t>Time Necessary for Compliance</w:t>
      </w:r>
    </w:p>
    <w:p w14:paraId="608F55F6" w14:textId="3C00386F" w:rsidR="0053026D" w:rsidRPr="00396581" w:rsidRDefault="0053026D" w:rsidP="00D56B46">
      <w:pPr>
        <w:tabs>
          <w:tab w:val="left" w:pos="1118"/>
        </w:tabs>
        <w:contextualSpacing/>
      </w:pPr>
      <w:r w:rsidRPr="00396581">
        <w:t xml:space="preserve">Because of the relatively short remaining useful life of this facility, </w:t>
      </w:r>
      <w:r w:rsidR="00933DEA">
        <w:t>NPS</w:t>
      </w:r>
      <w:r w:rsidRPr="00396581">
        <w:t xml:space="preserve"> review is limited to control strategies that can be implemented relatively quickly</w:t>
      </w:r>
      <w:r w:rsidR="00863ED9">
        <w:t xml:space="preserve">.  </w:t>
      </w:r>
      <w:r w:rsidR="00933DEA">
        <w:t>The NPS</w:t>
      </w:r>
      <w:r w:rsidRPr="00396581">
        <w:t xml:space="preserve"> review of similar </w:t>
      </w:r>
      <w:proofErr w:type="gramStart"/>
      <w:r w:rsidRPr="00396581">
        <w:t>coal-fired</w:t>
      </w:r>
      <w:proofErr w:type="gramEnd"/>
      <w:r w:rsidRPr="00396581">
        <w:t xml:space="preserve"> EGUs indicates that DSI, scrubber upgrades, and SNCR can be installed in less than two years.</w:t>
      </w:r>
    </w:p>
    <w:p w14:paraId="6F560459" w14:textId="6AE88A07" w:rsidR="0053026D" w:rsidRPr="00396581" w:rsidRDefault="0053026D" w:rsidP="00394D49">
      <w:pPr>
        <w:pStyle w:val="Heading3"/>
      </w:pPr>
      <w:r w:rsidRPr="00396581">
        <w:t>Energy and Non-air Quality Impacts</w:t>
      </w:r>
    </w:p>
    <w:p w14:paraId="41F9D247" w14:textId="01C044E2" w:rsidR="0053026D" w:rsidRPr="00457B98" w:rsidRDefault="00933DEA" w:rsidP="00D56B46">
      <w:pPr>
        <w:tabs>
          <w:tab w:val="left" w:pos="1118"/>
        </w:tabs>
        <w:contextualSpacing/>
      </w:pPr>
      <w:r>
        <w:t>The NPS</w:t>
      </w:r>
      <w:r w:rsidR="0053026D" w:rsidRPr="00396581">
        <w:t xml:space="preserve"> agree</w:t>
      </w:r>
      <w:r w:rsidR="00DA6F36" w:rsidRPr="00396581">
        <w:t>s</w:t>
      </w:r>
      <w:r w:rsidR="00FA2AAA" w:rsidRPr="00396581">
        <w:t xml:space="preserve"> with NDEP that while energy and non-air quality impacts are considered as separate factors</w:t>
      </w:r>
      <w:r w:rsidR="00614321" w:rsidRPr="00396581">
        <w:t>,</w:t>
      </w:r>
      <w:r w:rsidR="00F309CC" w:rsidRPr="00396581">
        <w:t xml:space="preserve"> they</w:t>
      </w:r>
      <w:r w:rsidR="00FA2AAA" w:rsidRPr="00396581">
        <w:t xml:space="preserve"> typically contribute to adjustments to the cost of compliance</w:t>
      </w:r>
      <w:r w:rsidR="00863ED9">
        <w:t xml:space="preserve">.  </w:t>
      </w:r>
      <w:r w:rsidR="0053026D" w:rsidRPr="00396581">
        <w:t xml:space="preserve">Furthermore, </w:t>
      </w:r>
      <w:r w:rsidR="000A6CB7" w:rsidRPr="00396581">
        <w:t>no unique or unusual</w:t>
      </w:r>
      <w:r w:rsidR="0053026D" w:rsidRPr="00396581">
        <w:t xml:space="preserve"> </w:t>
      </w:r>
      <w:r w:rsidR="006720BE" w:rsidRPr="00396581">
        <w:t>energy and non-air quality impacts</w:t>
      </w:r>
      <w:r w:rsidR="0053026D" w:rsidRPr="00396581">
        <w:t xml:space="preserve"> </w:t>
      </w:r>
      <w:r w:rsidR="000A6CB7" w:rsidRPr="00396581">
        <w:t>have been raised by Nevada Energy for North Valmy</w:t>
      </w:r>
      <w:r w:rsidR="0053026D" w:rsidRPr="00396581">
        <w:t>.</w:t>
      </w:r>
    </w:p>
    <w:p w14:paraId="59ED5E5A" w14:textId="3D27219D" w:rsidR="002A0ED6" w:rsidRPr="00457B98" w:rsidRDefault="00D6102A" w:rsidP="008B490A">
      <w:pPr>
        <w:pStyle w:val="Heading2"/>
      </w:pPr>
      <w:bookmarkStart w:id="17" w:name="_Toc109058121"/>
      <w:r w:rsidRPr="008303E0">
        <w:lastRenderedPageBreak/>
        <w:t>SO</w:t>
      </w:r>
      <w:r w:rsidRPr="00D6102A">
        <w:rPr>
          <w:vertAlign w:val="subscript"/>
        </w:rPr>
        <w:t>2</w:t>
      </w:r>
      <w:r w:rsidR="00106EA1" w:rsidRPr="00457B98">
        <w:t xml:space="preserve"> </w:t>
      </w:r>
      <w:r w:rsidR="000201A9" w:rsidRPr="00457B98">
        <w:t>– Cost of Compliance</w:t>
      </w:r>
      <w:bookmarkEnd w:id="17"/>
    </w:p>
    <w:p w14:paraId="02807225" w14:textId="47615945" w:rsidR="00B40611" w:rsidRPr="00457B98" w:rsidRDefault="00B40611" w:rsidP="00394D49">
      <w:pPr>
        <w:pStyle w:val="Heading3"/>
      </w:pPr>
      <w:r w:rsidRPr="00457B98">
        <w:t>Unit 1</w:t>
      </w:r>
      <w:r w:rsidR="000201A9" w:rsidRPr="00457B98">
        <w:t xml:space="preserve"> – Dry Sor</w:t>
      </w:r>
      <w:r w:rsidR="0090448E" w:rsidRPr="00457B98">
        <w:t>bent Injection (DSI)</w:t>
      </w:r>
    </w:p>
    <w:p w14:paraId="585AD8A8" w14:textId="3EA9C1AA" w:rsidR="009D0DFD" w:rsidRDefault="001D26D7" w:rsidP="00D56B46">
      <w:pPr>
        <w:contextualSpacing/>
      </w:pPr>
      <w:r w:rsidRPr="00457B98">
        <w:t xml:space="preserve">NDEP </w:t>
      </w:r>
      <w:r w:rsidR="00DE2368">
        <w:t>bases</w:t>
      </w:r>
      <w:r w:rsidRPr="00457B98">
        <w:t xml:space="preserve"> its analysis of DSI in the draft SIP on information provided by Nevada Energy</w:t>
      </w:r>
      <w:r w:rsidR="004B0325">
        <w:t xml:space="preserve"> (NVE)</w:t>
      </w:r>
      <w:r w:rsidR="00863ED9">
        <w:t xml:space="preserve">.  </w:t>
      </w:r>
      <w:r w:rsidR="00933DEA">
        <w:t>The NPS</w:t>
      </w:r>
      <w:r w:rsidR="00527E98">
        <w:t xml:space="preserve"> was</w:t>
      </w:r>
      <w:r w:rsidR="004B0325" w:rsidRPr="001D29D5">
        <w:t xml:space="preserve"> unable to review the full analysis completed by Sargent &amp; Lundy (S&amp;L) </w:t>
      </w:r>
      <w:r w:rsidR="004B0325">
        <w:t xml:space="preserve">in 2012 </w:t>
      </w:r>
      <w:r w:rsidR="004B0325" w:rsidRPr="001D29D5">
        <w:t xml:space="preserve">on behalf of </w:t>
      </w:r>
      <w:r w:rsidR="00402E0C">
        <w:t>NVE</w:t>
      </w:r>
      <w:r w:rsidR="004B0325" w:rsidRPr="001D29D5">
        <w:t xml:space="preserve"> </w:t>
      </w:r>
      <w:r w:rsidR="00693071">
        <w:t xml:space="preserve">due to its redaction </w:t>
      </w:r>
      <w:r w:rsidR="004B0325" w:rsidRPr="001D29D5">
        <w:t>from the SIP document</w:t>
      </w:r>
      <w:r w:rsidR="001B3B8F">
        <w:t>ation</w:t>
      </w:r>
      <w:r w:rsidR="00863ED9">
        <w:t xml:space="preserve">.  </w:t>
      </w:r>
      <w:r w:rsidR="00693071">
        <w:t>Nonetheless</w:t>
      </w:r>
      <w:r w:rsidR="0099365B">
        <w:t>, in</w:t>
      </w:r>
      <w:r w:rsidR="004B0325">
        <w:t xml:space="preserve"> its April 29, </w:t>
      </w:r>
      <w:proofErr w:type="gramStart"/>
      <w:r w:rsidR="004B0325">
        <w:t>2022</w:t>
      </w:r>
      <w:proofErr w:type="gramEnd"/>
      <w:r w:rsidR="004B0325">
        <w:t xml:space="preserve"> submittal, NVE </w:t>
      </w:r>
      <w:r w:rsidR="00B2375E">
        <w:t>states that it will accept the use of information over ten years from the redacted S&amp;L study</w:t>
      </w:r>
      <w:r w:rsidR="003F129D">
        <w:t xml:space="preserve"> </w:t>
      </w:r>
      <w:r w:rsidR="004B0325">
        <w:t xml:space="preserve">because </w:t>
      </w:r>
      <w:r w:rsidR="00705DEA">
        <w:t>the Environmental Protection Agency (</w:t>
      </w:r>
      <w:r w:rsidR="004B0325">
        <w:t>EPA</w:t>
      </w:r>
      <w:r w:rsidR="00705DEA">
        <w:t>)</w:t>
      </w:r>
      <w:r w:rsidR="004B0325">
        <w:t xml:space="preserve"> has relied upon information that is more than ten years old in some instances</w:t>
      </w:r>
      <w:r w:rsidR="00863ED9">
        <w:t xml:space="preserve">.  </w:t>
      </w:r>
    </w:p>
    <w:p w14:paraId="356EC588" w14:textId="77777777" w:rsidR="009D0DFD" w:rsidRDefault="009D0DFD" w:rsidP="00D56B46">
      <w:pPr>
        <w:contextualSpacing/>
      </w:pPr>
    </w:p>
    <w:p w14:paraId="12880E31" w14:textId="2CDCDE21" w:rsidR="004B0325" w:rsidRDefault="008D3BC0" w:rsidP="00D56B46">
      <w:pPr>
        <w:contextualSpacing/>
      </w:pPr>
      <w:r>
        <w:t>Alternatively,</w:t>
      </w:r>
      <w:r w:rsidR="00F80EC5">
        <w:t xml:space="preserve"> recent revisions to </w:t>
      </w:r>
      <w:r w:rsidR="00FE589F">
        <w:t xml:space="preserve">the EPA Control </w:t>
      </w:r>
      <w:r w:rsidR="00D6041B">
        <w:t xml:space="preserve">Cost </w:t>
      </w:r>
      <w:r w:rsidR="00FE589F">
        <w:t>Manual (</w:t>
      </w:r>
      <w:r w:rsidR="00F80EC5">
        <w:t>CCM</w:t>
      </w:r>
      <w:r w:rsidR="00FE589F">
        <w:t>)</w:t>
      </w:r>
      <w:r w:rsidR="00F80EC5">
        <w:t xml:space="preserve"> are based upon algorithms developed by </w:t>
      </w:r>
      <w:r w:rsidR="007C1CA4">
        <w:t>S&amp;L</w:t>
      </w:r>
      <w:r w:rsidR="00F80EC5">
        <w:t xml:space="preserve"> for SNCR (2017), SCR (2017), and SDA/CDS (2017)</w:t>
      </w:r>
      <w:r w:rsidR="0033749E">
        <w:t>, and Wet FGD (2017)</w:t>
      </w:r>
      <w:r w:rsidR="00863ED9">
        <w:t xml:space="preserve">.  </w:t>
      </w:r>
      <w:r w:rsidR="00D56B46">
        <w:t xml:space="preserve">For example, </w:t>
      </w:r>
      <w:r w:rsidR="00D46E53">
        <w:t xml:space="preserve">Sargent &amp; Lundy </w:t>
      </w:r>
      <w:r w:rsidR="00D56B46">
        <w:t xml:space="preserve">published “Dry Sorbent Injection for </w:t>
      </w:r>
      <w:r w:rsidR="00D6102A" w:rsidRPr="008303E0">
        <w:t>SO</w:t>
      </w:r>
      <w:r w:rsidR="00D6102A" w:rsidRPr="00D6102A">
        <w:rPr>
          <w:vertAlign w:val="subscript"/>
        </w:rPr>
        <w:t>2</w:t>
      </w:r>
      <w:r w:rsidR="00D56B46">
        <w:t xml:space="preserve"> Control Cost Development Methodology” in March 2013 and updated it in 2017 to include some significant changes</w:t>
      </w:r>
      <w:r w:rsidR="00D56B46" w:rsidRPr="00D56B46">
        <w:t xml:space="preserve"> </w:t>
      </w:r>
      <w:r w:rsidR="00D56B46" w:rsidRPr="00457B98">
        <w:t>for EPA’s Integrated Planning Model</w:t>
      </w:r>
      <w:r w:rsidR="002E5841">
        <w:t xml:space="preserve"> (IPM)</w:t>
      </w:r>
      <w:r w:rsidR="00D56B46" w:rsidRPr="00457B98">
        <w:t>.</w:t>
      </w:r>
      <w:r w:rsidR="00D56B46" w:rsidRPr="00457B98">
        <w:rPr>
          <w:vertAlign w:val="superscript"/>
        </w:rPr>
        <w:footnoteReference w:id="2"/>
      </w:r>
      <w:r w:rsidR="00D56B46">
        <w:t xml:space="preserve"> Instead of relying upon that 2013 model, </w:t>
      </w:r>
      <w:r w:rsidR="00AC5037">
        <w:t>NPS analyses us</w:t>
      </w:r>
      <w:r w:rsidR="009075BC">
        <w:t>e</w:t>
      </w:r>
      <w:r w:rsidR="00D56B46">
        <w:t xml:space="preserve"> the current</w:t>
      </w:r>
      <w:r w:rsidR="00787D42">
        <w:t xml:space="preserve"> (2017)</w:t>
      </w:r>
      <w:r w:rsidR="00D56B46">
        <w:t xml:space="preserve"> model.</w:t>
      </w:r>
      <w:r w:rsidR="00855FBD">
        <w:rPr>
          <w:rStyle w:val="FootnoteReference"/>
        </w:rPr>
        <w:footnoteReference w:id="3"/>
      </w:r>
    </w:p>
    <w:p w14:paraId="3B9F105C" w14:textId="60436C24" w:rsidR="00D56B46" w:rsidRDefault="00D56B46" w:rsidP="00D56B46">
      <w:pPr>
        <w:contextualSpacing/>
      </w:pPr>
    </w:p>
    <w:p w14:paraId="0AF7A2A7" w14:textId="33E0AA62" w:rsidR="00D56B46" w:rsidRDefault="00D56B46" w:rsidP="00D56B46">
      <w:pPr>
        <w:contextualSpacing/>
      </w:pPr>
      <w:r>
        <w:t>NVE</w:t>
      </w:r>
      <w:r w:rsidR="0054170B">
        <w:t xml:space="preserve"> states</w:t>
      </w:r>
      <w:r>
        <w:t>:</w:t>
      </w:r>
    </w:p>
    <w:p w14:paraId="73BE1F9E" w14:textId="1ABB35A2" w:rsidR="00D56B46" w:rsidRDefault="00D56B46" w:rsidP="00CF504A">
      <w:pPr>
        <w:pStyle w:val="Quote"/>
      </w:pPr>
      <w:r w:rsidRPr="00D56B46">
        <w:t xml:space="preserve">Moreover, two of the cost elements of the S&amp;L estimate that </w:t>
      </w:r>
      <w:r w:rsidR="00933DEA">
        <w:t>NPS</w:t>
      </w:r>
      <w:r w:rsidRPr="00D56B46">
        <w:t xml:space="preserve"> describes as being inappropriate (owner’s costs and allowance for funds used during construction) are specifically included in the IPM model</w:t>
      </w:r>
      <w:r w:rsidRPr="00D56B46">
        <w:rPr>
          <w:spacing w:val="-1"/>
        </w:rPr>
        <w:t xml:space="preserve"> </w:t>
      </w:r>
      <w:r w:rsidRPr="00D56B46">
        <w:t xml:space="preserve">that </w:t>
      </w:r>
      <w:r w:rsidR="00933DEA">
        <w:t>NPS</w:t>
      </w:r>
      <w:r w:rsidRPr="00D56B46">
        <w:t xml:space="preserve"> itself used to develop its own DSI cost estimates as documented in the worksheet provided.</w:t>
      </w:r>
    </w:p>
    <w:p w14:paraId="5E87DFD2" w14:textId="4B54A579" w:rsidR="00D56B46" w:rsidRPr="00D56B46" w:rsidRDefault="00693071" w:rsidP="00D56B46">
      <w:pPr>
        <w:spacing w:after="160"/>
        <w:contextualSpacing/>
        <w:rPr>
          <w:rFonts w:eastAsia="Calibri" w:cs="Calibri"/>
        </w:rPr>
      </w:pPr>
      <w:r>
        <w:rPr>
          <w:rFonts w:eastAsia="Calibri" w:cs="Calibri"/>
        </w:rPr>
        <w:t xml:space="preserve">The </w:t>
      </w:r>
      <w:r w:rsidR="00D56B46">
        <w:rPr>
          <w:rFonts w:eastAsia="Calibri" w:cs="Calibri"/>
        </w:rPr>
        <w:t xml:space="preserve">EPA has consistently rejected the inclusion of </w:t>
      </w:r>
      <w:r w:rsidR="00D56B46" w:rsidRPr="00D56B46">
        <w:rPr>
          <w:rFonts w:eastAsia="Calibri" w:cs="Calibri"/>
        </w:rPr>
        <w:t xml:space="preserve">owner’s costs </w:t>
      </w:r>
      <w:r w:rsidR="00752853">
        <w:rPr>
          <w:rFonts w:eastAsia="Calibri" w:cs="Calibri"/>
        </w:rPr>
        <w:t>($</w:t>
      </w:r>
      <w:r w:rsidR="00752853" w:rsidRPr="00752853">
        <w:rPr>
          <w:rFonts w:eastAsia="Calibri" w:cs="Calibri"/>
        </w:rPr>
        <w:t>4</w:t>
      </w:r>
      <w:r w:rsidR="00752853">
        <w:rPr>
          <w:rFonts w:eastAsia="Calibri" w:cs="Calibri"/>
        </w:rPr>
        <w:t>,</w:t>
      </w:r>
      <w:r w:rsidR="00752853" w:rsidRPr="00752853">
        <w:rPr>
          <w:rFonts w:eastAsia="Calibri" w:cs="Calibri"/>
        </w:rPr>
        <w:t>880</w:t>
      </w:r>
      <w:r w:rsidR="00752853">
        <w:rPr>
          <w:rFonts w:eastAsia="Calibri" w:cs="Calibri"/>
        </w:rPr>
        <w:t>,</w:t>
      </w:r>
      <w:r w:rsidR="00752853" w:rsidRPr="00752853">
        <w:rPr>
          <w:rFonts w:eastAsia="Calibri" w:cs="Calibri"/>
        </w:rPr>
        <w:t>900</w:t>
      </w:r>
      <w:r w:rsidR="00752853">
        <w:rPr>
          <w:rFonts w:eastAsia="Calibri" w:cs="Calibri"/>
        </w:rPr>
        <w:t xml:space="preserve"> for DSI with trona according to NVE) </w:t>
      </w:r>
      <w:r w:rsidR="00D56B46" w:rsidRPr="00D56B46">
        <w:rPr>
          <w:rFonts w:eastAsia="Calibri" w:cs="Calibri"/>
        </w:rPr>
        <w:t>and allowance for funds used during construction</w:t>
      </w:r>
      <w:r w:rsidR="00863ED9">
        <w:rPr>
          <w:rFonts w:eastAsia="Calibri" w:cs="Calibri"/>
        </w:rPr>
        <w:t xml:space="preserve">.  </w:t>
      </w:r>
      <w:r w:rsidR="00933DEA">
        <w:rPr>
          <w:rFonts w:eastAsia="Calibri" w:cs="Calibri"/>
        </w:rPr>
        <w:t>The NPS</w:t>
      </w:r>
      <w:r w:rsidR="00181FE9">
        <w:rPr>
          <w:rFonts w:eastAsia="Calibri" w:cs="Calibri"/>
        </w:rPr>
        <w:t xml:space="preserve"> used t</w:t>
      </w:r>
      <w:r w:rsidR="001B3B8F">
        <w:rPr>
          <w:rFonts w:eastAsia="Calibri" w:cs="Calibri"/>
        </w:rPr>
        <w:t xml:space="preserve">he </w:t>
      </w:r>
      <w:r w:rsidR="00D56B46">
        <w:rPr>
          <w:rFonts w:eastAsia="Calibri" w:cs="Calibri"/>
        </w:rPr>
        <w:t xml:space="preserve">IPM </w:t>
      </w:r>
      <w:r w:rsidR="00181FE9">
        <w:rPr>
          <w:rFonts w:eastAsia="Calibri" w:cs="Calibri"/>
        </w:rPr>
        <w:t>which</w:t>
      </w:r>
      <w:r w:rsidR="00D56B46">
        <w:rPr>
          <w:rFonts w:eastAsia="Calibri" w:cs="Calibri"/>
        </w:rPr>
        <w:t xml:space="preserve"> allows the exclusion of these costs</w:t>
      </w:r>
      <w:r w:rsidR="00863ED9">
        <w:rPr>
          <w:rFonts w:eastAsia="Calibri" w:cs="Calibri"/>
        </w:rPr>
        <w:t xml:space="preserve">.  </w:t>
      </w:r>
      <w:r w:rsidR="0072227E">
        <w:rPr>
          <w:rFonts w:eastAsia="Calibri" w:cs="Calibri"/>
        </w:rPr>
        <w:t>Consistent with EPA recommendations</w:t>
      </w:r>
      <w:r w:rsidR="00C206B7">
        <w:rPr>
          <w:rFonts w:eastAsia="Calibri" w:cs="Calibri"/>
        </w:rPr>
        <w:t>,</w:t>
      </w:r>
      <w:r w:rsidR="0072227E">
        <w:rPr>
          <w:rFonts w:eastAsia="Calibri" w:cs="Calibri"/>
        </w:rPr>
        <w:t xml:space="preserve"> NPS analyses </w:t>
      </w:r>
      <w:r w:rsidR="00181FE9">
        <w:rPr>
          <w:rFonts w:eastAsia="Calibri" w:cs="Calibri"/>
        </w:rPr>
        <w:t xml:space="preserve">excluded </w:t>
      </w:r>
      <w:r w:rsidR="0072227E">
        <w:rPr>
          <w:rFonts w:eastAsia="Calibri" w:cs="Calibri"/>
        </w:rPr>
        <w:t>these costs</w:t>
      </w:r>
      <w:r w:rsidR="00863ED9">
        <w:rPr>
          <w:rFonts w:eastAsia="Calibri" w:cs="Calibri"/>
        </w:rPr>
        <w:t xml:space="preserve">.  </w:t>
      </w:r>
    </w:p>
    <w:p w14:paraId="7B75FEAB" w14:textId="78B7EDE3" w:rsidR="00D56B46" w:rsidRDefault="00D56B46" w:rsidP="00D56B46">
      <w:pPr>
        <w:contextualSpacing/>
      </w:pPr>
    </w:p>
    <w:p w14:paraId="1B21152F" w14:textId="59DD0E53" w:rsidR="00206237" w:rsidRDefault="00206237" w:rsidP="00206237">
      <w:pPr>
        <w:contextualSpacing/>
      </w:pPr>
      <w:r>
        <w:t xml:space="preserve">NVE </w:t>
      </w:r>
      <w:r w:rsidR="001E77F0">
        <w:t>states</w:t>
      </w:r>
      <w:r>
        <w:t>:</w:t>
      </w:r>
    </w:p>
    <w:p w14:paraId="36BA9D79" w14:textId="4FEAEED1" w:rsidR="00206237" w:rsidRDefault="00206237" w:rsidP="00CF504A">
      <w:pPr>
        <w:pStyle w:val="Quote"/>
      </w:pPr>
      <w:r w:rsidRPr="00206237">
        <w:t xml:space="preserve">Moreover, </w:t>
      </w:r>
      <w:r w:rsidR="00933DEA">
        <w:t>NPS</w:t>
      </w:r>
      <w:r w:rsidRPr="00206237">
        <w:t xml:space="preserve"> cost analysis presents a capital recovery cost for this alternative that</w:t>
      </w:r>
      <w:r w:rsidRPr="00206237">
        <w:rPr>
          <w:spacing w:val="-1"/>
        </w:rPr>
        <w:t xml:space="preserve"> </w:t>
      </w:r>
      <w:r w:rsidRPr="00206237">
        <w:t>appears</w:t>
      </w:r>
      <w:r w:rsidRPr="00206237">
        <w:rPr>
          <w:spacing w:val="-2"/>
        </w:rPr>
        <w:t xml:space="preserve"> </w:t>
      </w:r>
      <w:r w:rsidRPr="00206237">
        <w:t>to</w:t>
      </w:r>
      <w:r w:rsidRPr="00206237">
        <w:rPr>
          <w:spacing w:val="-1"/>
        </w:rPr>
        <w:t xml:space="preserve"> </w:t>
      </w:r>
      <w:r w:rsidRPr="00206237">
        <w:t>be</w:t>
      </w:r>
      <w:r w:rsidRPr="00206237">
        <w:rPr>
          <w:spacing w:val="-1"/>
        </w:rPr>
        <w:t xml:space="preserve"> </w:t>
      </w:r>
      <w:r w:rsidRPr="00206237">
        <w:t>based</w:t>
      </w:r>
      <w:r w:rsidRPr="00206237">
        <w:rPr>
          <w:spacing w:val="-2"/>
        </w:rPr>
        <w:t xml:space="preserve"> </w:t>
      </w:r>
      <w:r w:rsidRPr="00206237">
        <w:t>on</w:t>
      </w:r>
      <w:r w:rsidRPr="00206237">
        <w:rPr>
          <w:spacing w:val="-1"/>
        </w:rPr>
        <w:t xml:space="preserve"> </w:t>
      </w:r>
      <w:r w:rsidRPr="00206237">
        <w:t>a</w:t>
      </w:r>
      <w:r w:rsidRPr="00206237">
        <w:rPr>
          <w:spacing w:val="-1"/>
        </w:rPr>
        <w:t xml:space="preserve"> </w:t>
      </w:r>
      <w:r w:rsidRPr="00206237">
        <w:t>cost</w:t>
      </w:r>
      <w:r w:rsidRPr="00206237">
        <w:rPr>
          <w:spacing w:val="-1"/>
        </w:rPr>
        <w:t xml:space="preserve"> </w:t>
      </w:r>
      <w:r w:rsidRPr="00206237">
        <w:t>of</w:t>
      </w:r>
      <w:r w:rsidRPr="00206237">
        <w:rPr>
          <w:spacing w:val="-2"/>
        </w:rPr>
        <w:t xml:space="preserve"> </w:t>
      </w:r>
      <w:r w:rsidRPr="00206237">
        <w:t>capital</w:t>
      </w:r>
      <w:r w:rsidRPr="00206237">
        <w:rPr>
          <w:spacing w:val="-1"/>
        </w:rPr>
        <w:t xml:space="preserve"> </w:t>
      </w:r>
      <w:r w:rsidRPr="00206237">
        <w:t>of</w:t>
      </w:r>
      <w:r w:rsidRPr="00206237">
        <w:rPr>
          <w:spacing w:val="-1"/>
        </w:rPr>
        <w:t xml:space="preserve"> </w:t>
      </w:r>
      <w:r w:rsidRPr="00206237">
        <w:t>4.72%</w:t>
      </w:r>
      <w:r w:rsidR="00863ED9">
        <w:t xml:space="preserve">.  </w:t>
      </w:r>
      <w:r w:rsidRPr="00206237">
        <w:t>In</w:t>
      </w:r>
      <w:r w:rsidRPr="00206237">
        <w:rPr>
          <w:spacing w:val="-1"/>
        </w:rPr>
        <w:t xml:space="preserve"> </w:t>
      </w:r>
      <w:r w:rsidRPr="00206237">
        <w:t>our</w:t>
      </w:r>
      <w:r w:rsidRPr="00206237">
        <w:rPr>
          <w:spacing w:val="-2"/>
        </w:rPr>
        <w:t xml:space="preserve"> </w:t>
      </w:r>
      <w:r w:rsidRPr="00206237">
        <w:t>previously</w:t>
      </w:r>
      <w:r w:rsidRPr="00206237">
        <w:rPr>
          <w:spacing w:val="-1"/>
        </w:rPr>
        <w:t xml:space="preserve"> </w:t>
      </w:r>
      <w:r w:rsidRPr="00206237">
        <w:t>submitted</w:t>
      </w:r>
      <w:r w:rsidRPr="00206237">
        <w:rPr>
          <w:spacing w:val="-1"/>
        </w:rPr>
        <w:t xml:space="preserve"> </w:t>
      </w:r>
      <w:r w:rsidRPr="00206237">
        <w:t>response</w:t>
      </w:r>
      <w:r w:rsidRPr="00206237">
        <w:rPr>
          <w:spacing w:val="-1"/>
        </w:rPr>
        <w:t xml:space="preserve"> </w:t>
      </w:r>
      <w:r w:rsidRPr="00206237">
        <w:t>letter dated July 8, 2020, we explained why the cost of capital for NVE’s operating utilities that is set by</w:t>
      </w:r>
      <w:r w:rsidRPr="00206237">
        <w:rPr>
          <w:spacing w:val="-1"/>
        </w:rPr>
        <w:t xml:space="preserve"> </w:t>
      </w:r>
      <w:r w:rsidRPr="00206237">
        <w:t>the</w:t>
      </w:r>
      <w:r w:rsidRPr="00206237">
        <w:rPr>
          <w:spacing w:val="-1"/>
        </w:rPr>
        <w:t xml:space="preserve"> </w:t>
      </w:r>
      <w:r w:rsidRPr="00206237">
        <w:t>Public</w:t>
      </w:r>
      <w:r w:rsidRPr="00206237">
        <w:rPr>
          <w:spacing w:val="-1"/>
        </w:rPr>
        <w:t xml:space="preserve"> </w:t>
      </w:r>
      <w:r w:rsidRPr="00206237">
        <w:t>Utility</w:t>
      </w:r>
      <w:r w:rsidRPr="00206237">
        <w:rPr>
          <w:spacing w:val="-1"/>
        </w:rPr>
        <w:t xml:space="preserve"> </w:t>
      </w:r>
      <w:r w:rsidRPr="00206237">
        <w:t>Commission</w:t>
      </w:r>
      <w:r w:rsidRPr="00206237">
        <w:rPr>
          <w:spacing w:val="-1"/>
        </w:rPr>
        <w:t xml:space="preserve"> </w:t>
      </w:r>
      <w:r w:rsidRPr="00206237">
        <w:t>of</w:t>
      </w:r>
      <w:r w:rsidRPr="00206237">
        <w:rPr>
          <w:spacing w:val="-2"/>
        </w:rPr>
        <w:t xml:space="preserve"> </w:t>
      </w:r>
      <w:r w:rsidRPr="00206237">
        <w:t>Nevada</w:t>
      </w:r>
      <w:r w:rsidRPr="00206237">
        <w:rPr>
          <w:spacing w:val="-1"/>
        </w:rPr>
        <w:t xml:space="preserve"> </w:t>
      </w:r>
      <w:r w:rsidRPr="00206237">
        <w:t>(6.75%)</w:t>
      </w:r>
      <w:r w:rsidRPr="00206237">
        <w:rPr>
          <w:spacing w:val="-1"/>
        </w:rPr>
        <w:t xml:space="preserve"> </w:t>
      </w:r>
      <w:r w:rsidRPr="00206237">
        <w:t>is</w:t>
      </w:r>
      <w:r w:rsidRPr="00206237">
        <w:rPr>
          <w:spacing w:val="-1"/>
        </w:rPr>
        <w:t xml:space="preserve"> </w:t>
      </w:r>
      <w:r w:rsidRPr="00206237">
        <w:t>the</w:t>
      </w:r>
      <w:r w:rsidRPr="00206237">
        <w:rPr>
          <w:spacing w:val="-2"/>
        </w:rPr>
        <w:t xml:space="preserve"> </w:t>
      </w:r>
      <w:r w:rsidRPr="00206237">
        <w:t>preferred</w:t>
      </w:r>
      <w:r w:rsidRPr="00206237">
        <w:rPr>
          <w:spacing w:val="-1"/>
        </w:rPr>
        <w:t xml:space="preserve"> </w:t>
      </w:r>
      <w:r w:rsidRPr="00206237">
        <w:t>firm-specific</w:t>
      </w:r>
      <w:r w:rsidRPr="00206237">
        <w:rPr>
          <w:spacing w:val="-1"/>
        </w:rPr>
        <w:t xml:space="preserve"> </w:t>
      </w:r>
      <w:r w:rsidRPr="00206237">
        <w:t>cost</w:t>
      </w:r>
      <w:r w:rsidRPr="00206237">
        <w:rPr>
          <w:spacing w:val="-1"/>
        </w:rPr>
        <w:t xml:space="preserve"> </w:t>
      </w:r>
      <w:r w:rsidRPr="00206237">
        <w:t>of</w:t>
      </w:r>
      <w:r w:rsidRPr="00206237">
        <w:rPr>
          <w:spacing w:val="-1"/>
        </w:rPr>
        <w:t xml:space="preserve"> </w:t>
      </w:r>
      <w:r w:rsidRPr="00206237">
        <w:t>capital for us to use when evaluating the economics of emissions control options</w:t>
      </w:r>
      <w:r w:rsidR="00863ED9">
        <w:t xml:space="preserve">.  </w:t>
      </w:r>
      <w:r w:rsidRPr="00206237">
        <w:t xml:space="preserve">Consequently, NVE believes that </w:t>
      </w:r>
      <w:r w:rsidR="00933DEA">
        <w:t>NPS</w:t>
      </w:r>
      <w:r w:rsidRPr="00206237">
        <w:t xml:space="preserve"> estimates of both the capital cost of a trona-based DSI system for North Valmy as well as the annualized cost of that capital are understated.</w:t>
      </w:r>
    </w:p>
    <w:p w14:paraId="45B721FA" w14:textId="09EC233F" w:rsidR="00206237" w:rsidRDefault="00825DC0" w:rsidP="00206237">
      <w:pPr>
        <w:contextualSpacing/>
        <w:rPr>
          <w:rFonts w:eastAsia="Calibri" w:cs="Calibri"/>
        </w:rPr>
      </w:pPr>
      <w:r>
        <w:rPr>
          <w:rFonts w:eastAsia="Calibri" w:cs="Calibri"/>
        </w:rPr>
        <w:t>A</w:t>
      </w:r>
      <w:r w:rsidR="00206237">
        <w:rPr>
          <w:rFonts w:eastAsia="Calibri" w:cs="Calibri"/>
        </w:rPr>
        <w:t xml:space="preserve">ll </w:t>
      </w:r>
      <w:r w:rsidR="007D653B">
        <w:rPr>
          <w:rFonts w:eastAsia="Calibri" w:cs="Calibri"/>
        </w:rPr>
        <w:t>NPS</w:t>
      </w:r>
      <w:r w:rsidR="00206237">
        <w:rPr>
          <w:rFonts w:eastAsia="Calibri" w:cs="Calibri"/>
        </w:rPr>
        <w:t xml:space="preserve"> cost calculations for NVE sources consistently applied NVE’s 6.75% interest rate.</w:t>
      </w:r>
    </w:p>
    <w:p w14:paraId="6CEDE8B7" w14:textId="7E05A5B2" w:rsidR="001F3E17" w:rsidRDefault="001F3E17" w:rsidP="00206237">
      <w:pPr>
        <w:contextualSpacing/>
        <w:rPr>
          <w:rFonts w:eastAsia="Calibri" w:cs="Calibri"/>
        </w:rPr>
      </w:pPr>
    </w:p>
    <w:p w14:paraId="446BA014" w14:textId="49EEB6B5" w:rsidR="00597C2A" w:rsidRDefault="00597C2A" w:rsidP="00CF504A">
      <w:pPr>
        <w:pStyle w:val="Heading4"/>
      </w:pPr>
      <w:r>
        <w:lastRenderedPageBreak/>
        <w:t>New DSI with hydrated lime</w:t>
      </w:r>
    </w:p>
    <w:p w14:paraId="5B8BA3F7" w14:textId="5D67CBA5" w:rsidR="006E1EB6" w:rsidRDefault="00933DEA" w:rsidP="006E1EB6">
      <w:pPr>
        <w:contextualSpacing/>
        <w:rPr>
          <w:rFonts w:eastAsia="Calibri" w:cs="Calibri"/>
        </w:rPr>
      </w:pPr>
      <w:r>
        <w:rPr>
          <w:rFonts w:eastAsia="Calibri" w:cs="Calibri"/>
        </w:rPr>
        <w:t>The NPS</w:t>
      </w:r>
      <w:r w:rsidR="006E1EB6">
        <w:rPr>
          <w:rFonts w:eastAsia="Calibri" w:cs="Calibri"/>
        </w:rPr>
        <w:t xml:space="preserve"> encourages evaluating the replacement of the existing hydrated lime DSI with a hydrated lime system with higher capacity</w:t>
      </w:r>
      <w:r w:rsidR="00863ED9">
        <w:rPr>
          <w:rFonts w:eastAsia="Calibri" w:cs="Calibri"/>
        </w:rPr>
        <w:t xml:space="preserve">.  </w:t>
      </w:r>
      <w:r w:rsidR="00864FDE">
        <w:rPr>
          <w:rFonts w:eastAsia="Calibri" w:cs="Calibri"/>
        </w:rPr>
        <w:t xml:space="preserve">While </w:t>
      </w:r>
      <w:r w:rsidR="006E1EB6">
        <w:rPr>
          <w:rFonts w:eastAsia="Calibri" w:cs="Calibri"/>
        </w:rPr>
        <w:t xml:space="preserve">DSI with hydrated lime and a baghouse can achieve </w:t>
      </w:r>
      <w:r w:rsidR="00864FDE">
        <w:rPr>
          <w:rFonts w:eastAsia="Calibri" w:cs="Calibri"/>
        </w:rPr>
        <w:t xml:space="preserve">a maximum of </w:t>
      </w:r>
      <w:r w:rsidR="006E1EB6">
        <w:rPr>
          <w:rFonts w:eastAsia="Calibri" w:cs="Calibri"/>
        </w:rPr>
        <w:t xml:space="preserve">70% removal (S&amp;L IPM model), </w:t>
      </w:r>
      <w:r w:rsidR="00864FDE">
        <w:rPr>
          <w:rFonts w:eastAsia="Calibri" w:cs="Calibri"/>
        </w:rPr>
        <w:t xml:space="preserve">this would suffice to eliminate </w:t>
      </w:r>
      <w:r w:rsidR="006E1EB6">
        <w:rPr>
          <w:rFonts w:eastAsia="Calibri" w:cs="Calibri"/>
        </w:rPr>
        <w:t xml:space="preserve">the </w:t>
      </w:r>
      <w:r w:rsidR="003A2C24">
        <w:rPr>
          <w:rFonts w:eastAsia="Calibri" w:cs="Calibri"/>
        </w:rPr>
        <w:t>need to address a</w:t>
      </w:r>
      <w:r w:rsidR="006E1EB6">
        <w:rPr>
          <w:rFonts w:eastAsia="Calibri" w:cs="Calibri"/>
        </w:rPr>
        <w:t xml:space="preserve"> brown plume </w:t>
      </w:r>
      <w:r w:rsidR="00CE114E">
        <w:rPr>
          <w:rFonts w:eastAsia="Calibri" w:cs="Calibri"/>
        </w:rPr>
        <w:t xml:space="preserve">associated with the DSI with </w:t>
      </w:r>
      <w:r w:rsidR="007B5BC8">
        <w:rPr>
          <w:rFonts w:eastAsia="Calibri" w:cs="Calibri"/>
        </w:rPr>
        <w:t>M</w:t>
      </w:r>
      <w:r w:rsidR="00CE114E">
        <w:rPr>
          <w:rFonts w:eastAsia="Calibri" w:cs="Calibri"/>
        </w:rPr>
        <w:t xml:space="preserve">illed </w:t>
      </w:r>
      <w:r w:rsidR="007B5BC8">
        <w:rPr>
          <w:rFonts w:eastAsia="Calibri" w:cs="Calibri"/>
        </w:rPr>
        <w:t>T</w:t>
      </w:r>
      <w:r w:rsidR="00CE114E">
        <w:rPr>
          <w:rFonts w:eastAsia="Calibri" w:cs="Calibri"/>
        </w:rPr>
        <w:t>rona</w:t>
      </w:r>
      <w:r w:rsidR="007B5BC8">
        <w:rPr>
          <w:rFonts w:eastAsia="Calibri" w:cs="Calibri"/>
        </w:rPr>
        <w:t xml:space="preserve"> </w:t>
      </w:r>
      <w:r w:rsidR="007B5BC8">
        <w:rPr>
          <w:rFonts w:eastAsia="Calibri" w:cs="Calibri"/>
        </w:rPr>
        <w:t>option</w:t>
      </w:r>
      <w:r w:rsidR="006E1EB6">
        <w:rPr>
          <w:rFonts w:eastAsia="Calibri" w:cs="Calibri"/>
        </w:rPr>
        <w:t>.</w:t>
      </w:r>
    </w:p>
    <w:p w14:paraId="140B010D" w14:textId="77777777" w:rsidR="006E1EB6" w:rsidRDefault="006E1EB6" w:rsidP="005100DA">
      <w:pPr>
        <w:widowControl w:val="0"/>
        <w:autoSpaceDE w:val="0"/>
        <w:autoSpaceDN w:val="0"/>
        <w:ind w:right="208"/>
        <w:rPr>
          <w:rFonts w:eastAsia="Calibri" w:hAnsi="Calibri" w:cs="Calibri"/>
          <w:szCs w:val="22"/>
        </w:rPr>
      </w:pPr>
    </w:p>
    <w:p w14:paraId="68E7C561" w14:textId="4A033068" w:rsidR="005100DA" w:rsidRDefault="00B768B2" w:rsidP="005100DA">
      <w:pPr>
        <w:widowControl w:val="0"/>
        <w:autoSpaceDE w:val="0"/>
        <w:autoSpaceDN w:val="0"/>
        <w:ind w:right="208"/>
        <w:rPr>
          <w:rFonts w:eastAsia="Calibri" w:hAnsi="Calibri" w:cs="Calibri"/>
          <w:szCs w:val="22"/>
        </w:rPr>
      </w:pPr>
      <w:r>
        <w:rPr>
          <w:rFonts w:eastAsia="Calibri" w:hAnsi="Calibri" w:cs="Calibri"/>
          <w:szCs w:val="22"/>
        </w:rPr>
        <w:t>NVE</w:t>
      </w:r>
      <w:r w:rsidR="00E924CA">
        <w:rPr>
          <w:rFonts w:eastAsia="Calibri" w:hAnsi="Calibri" w:cs="Calibri"/>
          <w:szCs w:val="22"/>
        </w:rPr>
        <w:t xml:space="preserve"> states in their April 29, </w:t>
      </w:r>
      <w:proofErr w:type="gramStart"/>
      <w:r w:rsidR="00E924CA">
        <w:rPr>
          <w:rFonts w:eastAsia="Calibri" w:hAnsi="Calibri" w:cs="Calibri"/>
          <w:szCs w:val="22"/>
        </w:rPr>
        <w:t>2022</w:t>
      </w:r>
      <w:proofErr w:type="gramEnd"/>
      <w:r w:rsidR="00E924CA">
        <w:rPr>
          <w:rFonts w:eastAsia="Calibri" w:hAnsi="Calibri" w:cs="Calibri"/>
          <w:szCs w:val="22"/>
        </w:rPr>
        <w:t xml:space="preserve"> letter</w:t>
      </w:r>
      <w:r>
        <w:rPr>
          <w:rFonts w:eastAsia="Calibri" w:hAnsi="Calibri" w:cs="Calibri"/>
          <w:szCs w:val="22"/>
        </w:rPr>
        <w:t>:</w:t>
      </w:r>
      <w:r w:rsidR="005100DA">
        <w:rPr>
          <w:rFonts w:eastAsia="Calibri" w:hAnsi="Calibri" w:cs="Calibri"/>
          <w:szCs w:val="22"/>
        </w:rPr>
        <w:t xml:space="preserve"> </w:t>
      </w:r>
    </w:p>
    <w:p w14:paraId="7D21D246" w14:textId="77777777" w:rsidR="005100DA" w:rsidRDefault="005100DA" w:rsidP="005100DA">
      <w:pPr>
        <w:widowControl w:val="0"/>
        <w:autoSpaceDE w:val="0"/>
        <w:autoSpaceDN w:val="0"/>
        <w:ind w:right="208"/>
        <w:rPr>
          <w:rFonts w:eastAsia="Calibri" w:hAnsi="Calibri" w:cs="Calibri"/>
          <w:szCs w:val="22"/>
        </w:rPr>
      </w:pPr>
    </w:p>
    <w:p w14:paraId="490186F2" w14:textId="01827BC6" w:rsidR="00B768B2" w:rsidRDefault="00B768B2" w:rsidP="00CF504A">
      <w:pPr>
        <w:pStyle w:val="Quote"/>
      </w:pPr>
      <w:r w:rsidRPr="00B768B2">
        <w:t>In</w:t>
      </w:r>
      <w:r w:rsidRPr="00B768B2">
        <w:rPr>
          <w:spacing w:val="-3"/>
        </w:rPr>
        <w:t xml:space="preserve"> </w:t>
      </w:r>
      <w:r w:rsidRPr="00B768B2">
        <w:t>Table</w:t>
      </w:r>
      <w:r w:rsidRPr="00B768B2">
        <w:rPr>
          <w:spacing w:val="-3"/>
        </w:rPr>
        <w:t xml:space="preserve"> </w:t>
      </w:r>
      <w:r w:rsidRPr="00B768B2">
        <w:t>2</w:t>
      </w:r>
      <w:r w:rsidRPr="00B768B2">
        <w:rPr>
          <w:spacing w:val="-3"/>
        </w:rPr>
        <w:t xml:space="preserve"> </w:t>
      </w:r>
      <w:r w:rsidRPr="00B768B2">
        <w:t>of</w:t>
      </w:r>
      <w:r w:rsidRPr="00B768B2">
        <w:rPr>
          <w:spacing w:val="-3"/>
        </w:rPr>
        <w:t xml:space="preserve"> </w:t>
      </w:r>
      <w:r w:rsidRPr="00B768B2">
        <w:t>Section</w:t>
      </w:r>
      <w:r w:rsidRPr="00B768B2">
        <w:rPr>
          <w:spacing w:val="-3"/>
        </w:rPr>
        <w:t xml:space="preserve"> </w:t>
      </w:r>
      <w:r w:rsidRPr="00B768B2">
        <w:t>4.1.4</w:t>
      </w:r>
      <w:r w:rsidRPr="00B768B2">
        <w:rPr>
          <w:spacing w:val="-3"/>
        </w:rPr>
        <w:t xml:space="preserve"> </w:t>
      </w:r>
      <w:r w:rsidRPr="00B768B2">
        <w:t>of</w:t>
      </w:r>
      <w:r w:rsidRPr="00B768B2">
        <w:rPr>
          <w:spacing w:val="-3"/>
        </w:rPr>
        <w:t xml:space="preserve"> </w:t>
      </w:r>
      <w:r w:rsidRPr="00B768B2">
        <w:t>their</w:t>
      </w:r>
      <w:r w:rsidRPr="00B768B2">
        <w:rPr>
          <w:spacing w:val="-3"/>
        </w:rPr>
        <w:t xml:space="preserve"> </w:t>
      </w:r>
      <w:r w:rsidRPr="00B768B2">
        <w:t>comments</w:t>
      </w:r>
      <w:r w:rsidRPr="00B768B2">
        <w:rPr>
          <w:spacing w:val="-3"/>
        </w:rPr>
        <w:t xml:space="preserve"> </w:t>
      </w:r>
      <w:r w:rsidRPr="00B768B2">
        <w:t>summary</w:t>
      </w:r>
      <w:r w:rsidRPr="00B768B2">
        <w:rPr>
          <w:spacing w:val="-3"/>
        </w:rPr>
        <w:t xml:space="preserve"> </w:t>
      </w:r>
      <w:r w:rsidRPr="00B768B2">
        <w:t>document,</w:t>
      </w:r>
      <w:r w:rsidRPr="00B768B2">
        <w:rPr>
          <w:spacing w:val="-3"/>
        </w:rPr>
        <w:t xml:space="preserve"> </w:t>
      </w:r>
      <w:r w:rsidR="00933DEA">
        <w:t>NPS</w:t>
      </w:r>
      <w:r w:rsidRPr="00B768B2">
        <w:rPr>
          <w:spacing w:val="-4"/>
        </w:rPr>
        <w:t xml:space="preserve"> </w:t>
      </w:r>
      <w:r w:rsidRPr="00B768B2">
        <w:t>presents</w:t>
      </w:r>
      <w:r w:rsidRPr="00B768B2">
        <w:rPr>
          <w:spacing w:val="-3"/>
        </w:rPr>
        <w:t xml:space="preserve"> </w:t>
      </w:r>
      <w:r w:rsidRPr="00B768B2">
        <w:t>an</w:t>
      </w:r>
      <w:r w:rsidRPr="00B768B2">
        <w:rPr>
          <w:spacing w:val="-5"/>
        </w:rPr>
        <w:t xml:space="preserve"> </w:t>
      </w:r>
      <w:r w:rsidRPr="00B768B2">
        <w:t xml:space="preserve">estimate of the capital and annual operating costs associated with replacing the existing hydrated lime- based DSI system on North Valmy Unit </w:t>
      </w:r>
      <w:proofErr w:type="gramStart"/>
      <w:r w:rsidRPr="00B768B2">
        <w:t>1, and</w:t>
      </w:r>
      <w:proofErr w:type="gramEnd"/>
      <w:r w:rsidRPr="00B768B2">
        <w:t xml:space="preserve"> asserts</w:t>
      </w:r>
      <w:r w:rsidRPr="00B768B2">
        <w:rPr>
          <w:spacing w:val="-1"/>
        </w:rPr>
        <w:t xml:space="preserve"> </w:t>
      </w:r>
      <w:r w:rsidRPr="00B768B2">
        <w:t>that replacing</w:t>
      </w:r>
      <w:r w:rsidRPr="00B768B2">
        <w:rPr>
          <w:spacing w:val="-2"/>
        </w:rPr>
        <w:t xml:space="preserve"> </w:t>
      </w:r>
      <w:r w:rsidRPr="00B768B2">
        <w:t>the existing hydrated lime- based DSI system with a new system would be cost effective</w:t>
      </w:r>
      <w:r w:rsidR="00863ED9">
        <w:t xml:space="preserve">.  </w:t>
      </w:r>
      <w:r w:rsidRPr="00B768B2">
        <w:t>NVE finds this comment to be confusing because Unit 1 is already equipped with a hydrated lime based DSI system</w:t>
      </w:r>
      <w:r w:rsidR="00863ED9">
        <w:t xml:space="preserve">.  </w:t>
      </w:r>
      <w:r w:rsidRPr="00B768B2">
        <w:t>That system</w:t>
      </w:r>
      <w:r w:rsidRPr="00B768B2">
        <w:rPr>
          <w:spacing w:val="-2"/>
        </w:rPr>
        <w:t xml:space="preserve"> </w:t>
      </w:r>
      <w:r w:rsidRPr="00B768B2">
        <w:t>was</w:t>
      </w:r>
      <w:r w:rsidRPr="00B768B2">
        <w:rPr>
          <w:spacing w:val="-3"/>
        </w:rPr>
        <w:t xml:space="preserve"> </w:t>
      </w:r>
      <w:r w:rsidRPr="00B768B2">
        <w:t>installed</w:t>
      </w:r>
      <w:r w:rsidRPr="00B768B2">
        <w:rPr>
          <w:spacing w:val="-2"/>
        </w:rPr>
        <w:t xml:space="preserve"> </w:t>
      </w:r>
      <w:r w:rsidRPr="00B768B2">
        <w:t>less</w:t>
      </w:r>
      <w:r w:rsidRPr="00B768B2">
        <w:rPr>
          <w:spacing w:val="-3"/>
        </w:rPr>
        <w:t xml:space="preserve"> </w:t>
      </w:r>
      <w:r w:rsidRPr="00B768B2">
        <w:t>than</w:t>
      </w:r>
      <w:r w:rsidRPr="00B768B2">
        <w:rPr>
          <w:spacing w:val="-3"/>
        </w:rPr>
        <w:t xml:space="preserve"> </w:t>
      </w:r>
      <w:r w:rsidRPr="00B768B2">
        <w:t>seven</w:t>
      </w:r>
      <w:r w:rsidRPr="00B768B2">
        <w:rPr>
          <w:spacing w:val="-2"/>
        </w:rPr>
        <w:t xml:space="preserve"> </w:t>
      </w:r>
      <w:r w:rsidRPr="00B768B2">
        <w:t>years</w:t>
      </w:r>
      <w:r w:rsidRPr="00B768B2">
        <w:rPr>
          <w:spacing w:val="-2"/>
        </w:rPr>
        <w:t xml:space="preserve"> </w:t>
      </w:r>
      <w:r w:rsidRPr="00B768B2">
        <w:t>ago,</w:t>
      </w:r>
      <w:r w:rsidRPr="00B768B2">
        <w:rPr>
          <w:spacing w:val="-4"/>
        </w:rPr>
        <w:t xml:space="preserve"> </w:t>
      </w:r>
      <w:r w:rsidRPr="00B768B2">
        <w:t>and</w:t>
      </w:r>
      <w:r w:rsidRPr="00B768B2">
        <w:rPr>
          <w:spacing w:val="-2"/>
        </w:rPr>
        <w:t xml:space="preserve"> </w:t>
      </w:r>
      <w:r w:rsidRPr="00B768B2">
        <w:t>there</w:t>
      </w:r>
      <w:r w:rsidRPr="00B768B2">
        <w:rPr>
          <w:spacing w:val="-3"/>
        </w:rPr>
        <w:t xml:space="preserve"> </w:t>
      </w:r>
      <w:r w:rsidRPr="00B768B2">
        <w:t>is</w:t>
      </w:r>
      <w:r w:rsidRPr="00B768B2">
        <w:rPr>
          <w:spacing w:val="-2"/>
        </w:rPr>
        <w:t xml:space="preserve"> </w:t>
      </w:r>
      <w:r w:rsidRPr="00B768B2">
        <w:t>no</w:t>
      </w:r>
      <w:r w:rsidRPr="00B768B2">
        <w:rPr>
          <w:spacing w:val="-4"/>
        </w:rPr>
        <w:t xml:space="preserve"> </w:t>
      </w:r>
      <w:r w:rsidRPr="00B768B2">
        <w:t>technical</w:t>
      </w:r>
      <w:r w:rsidRPr="00B768B2">
        <w:rPr>
          <w:spacing w:val="-2"/>
        </w:rPr>
        <w:t xml:space="preserve"> </w:t>
      </w:r>
      <w:r w:rsidRPr="00B768B2">
        <w:t>or</w:t>
      </w:r>
      <w:r w:rsidRPr="00B768B2">
        <w:rPr>
          <w:spacing w:val="-3"/>
        </w:rPr>
        <w:t xml:space="preserve"> </w:t>
      </w:r>
      <w:r w:rsidRPr="00B768B2">
        <w:t>economic</w:t>
      </w:r>
      <w:r w:rsidRPr="00B768B2">
        <w:rPr>
          <w:spacing w:val="-2"/>
        </w:rPr>
        <w:t xml:space="preserve"> </w:t>
      </w:r>
      <w:r w:rsidRPr="00B768B2">
        <w:t>reason</w:t>
      </w:r>
      <w:r w:rsidRPr="00B768B2">
        <w:rPr>
          <w:spacing w:val="-2"/>
        </w:rPr>
        <w:t xml:space="preserve"> </w:t>
      </w:r>
      <w:r w:rsidRPr="00B768B2">
        <w:t>to replace this existing system</w:t>
      </w:r>
      <w:r w:rsidR="00863ED9">
        <w:t xml:space="preserve">.  </w:t>
      </w:r>
      <w:r w:rsidRPr="00B768B2">
        <w:t xml:space="preserve">Moreover, </w:t>
      </w:r>
      <w:r w:rsidR="00933DEA">
        <w:t>NPS</w:t>
      </w:r>
      <w:r w:rsidRPr="00B768B2">
        <w:t xml:space="preserve"> cost estimate assumes that a hydrated lime- based DSI system would achieve 50% removal of </w:t>
      </w:r>
      <w:r w:rsidR="00D6102A" w:rsidRPr="008303E0">
        <w:t>SO</w:t>
      </w:r>
      <w:r w:rsidR="00D6102A" w:rsidRPr="00D6102A">
        <w:rPr>
          <w:vertAlign w:val="subscript"/>
        </w:rPr>
        <w:t>2</w:t>
      </w:r>
      <w:r w:rsidR="00863ED9">
        <w:t xml:space="preserve">.  </w:t>
      </w:r>
      <w:r w:rsidRPr="00B768B2">
        <w:t xml:space="preserve">Based on our existing system’s performance, however, this technology achieves a much lower level of </w:t>
      </w:r>
      <w:r w:rsidR="00D6102A" w:rsidRPr="008303E0">
        <w:t>SO</w:t>
      </w:r>
      <w:r w:rsidR="00D6102A" w:rsidRPr="00D6102A">
        <w:rPr>
          <w:vertAlign w:val="subscript"/>
        </w:rPr>
        <w:t>2</w:t>
      </w:r>
      <w:r w:rsidRPr="00B768B2">
        <w:t xml:space="preserve"> control (22%) as noted above.</w:t>
      </w:r>
    </w:p>
    <w:p w14:paraId="38C6C70F" w14:textId="3311C1CB" w:rsidR="00DC60BD" w:rsidRPr="00DC60BD" w:rsidRDefault="007A0AD1" w:rsidP="00CF504A">
      <w:pPr>
        <w:widowControl w:val="0"/>
        <w:autoSpaceDE w:val="0"/>
        <w:autoSpaceDN w:val="0"/>
        <w:ind w:right="208"/>
        <w:rPr>
          <w:rFonts w:eastAsia="Calibri"/>
        </w:rPr>
      </w:pPr>
      <w:r>
        <w:rPr>
          <w:rFonts w:eastAsia="Calibri" w:hAnsi="Calibri" w:cs="Calibri"/>
          <w:szCs w:val="22"/>
        </w:rPr>
        <w:t xml:space="preserve">NVE states in their </w:t>
      </w:r>
      <w:r w:rsidR="00DA487D">
        <w:rPr>
          <w:rFonts w:eastAsia="Calibri" w:hAnsi="Calibri" w:cs="Calibri"/>
          <w:szCs w:val="22"/>
        </w:rPr>
        <w:t>May 27</w:t>
      </w:r>
      <w:r>
        <w:rPr>
          <w:rFonts w:eastAsia="Calibri" w:hAnsi="Calibri" w:cs="Calibri"/>
          <w:szCs w:val="22"/>
        </w:rPr>
        <w:t xml:space="preserve">, </w:t>
      </w:r>
      <w:proofErr w:type="gramStart"/>
      <w:r>
        <w:rPr>
          <w:rFonts w:eastAsia="Calibri" w:hAnsi="Calibri" w:cs="Calibri"/>
          <w:szCs w:val="22"/>
        </w:rPr>
        <w:t>2022</w:t>
      </w:r>
      <w:proofErr w:type="gramEnd"/>
      <w:r>
        <w:rPr>
          <w:rFonts w:eastAsia="Calibri" w:hAnsi="Calibri" w:cs="Calibri"/>
          <w:szCs w:val="22"/>
        </w:rPr>
        <w:t xml:space="preserve"> letter: </w:t>
      </w:r>
    </w:p>
    <w:p w14:paraId="6699F2CE" w14:textId="5AA2C9CE" w:rsidR="00B768B2" w:rsidRPr="00B768B2" w:rsidRDefault="00B768B2" w:rsidP="00B768B2">
      <w:pPr>
        <w:widowControl w:val="0"/>
        <w:autoSpaceDE w:val="0"/>
        <w:autoSpaceDN w:val="0"/>
        <w:ind w:left="140" w:right="208"/>
        <w:rPr>
          <w:rFonts w:eastAsia="Calibri" w:hAnsi="Calibri" w:cs="Calibri"/>
          <w:szCs w:val="22"/>
        </w:rPr>
      </w:pPr>
    </w:p>
    <w:p w14:paraId="50EC81A5" w14:textId="0E40ED6C" w:rsidR="00B768B2" w:rsidRDefault="005100DA" w:rsidP="00CF504A">
      <w:pPr>
        <w:pStyle w:val="Quote"/>
      </w:pPr>
      <w:r>
        <w:rPr>
          <w:w w:val="105"/>
        </w:rPr>
        <w:t>From a</w:t>
      </w:r>
      <w:r>
        <w:rPr>
          <w:spacing w:val="-3"/>
          <w:w w:val="105"/>
        </w:rPr>
        <w:t xml:space="preserve"> </w:t>
      </w:r>
      <w:r>
        <w:rPr>
          <w:w w:val="105"/>
        </w:rPr>
        <w:t>theoretical perspective, increasing the</w:t>
      </w:r>
      <w:r>
        <w:rPr>
          <w:spacing w:val="-5"/>
          <w:w w:val="105"/>
        </w:rPr>
        <w:t xml:space="preserve"> </w:t>
      </w:r>
      <w:r w:rsidR="00D6102A" w:rsidRPr="008303E0">
        <w:t>SO</w:t>
      </w:r>
      <w:r w:rsidR="00D6102A" w:rsidRPr="00D6102A">
        <w:rPr>
          <w:vertAlign w:val="subscript"/>
        </w:rPr>
        <w:t>2</w:t>
      </w:r>
      <w:r>
        <w:rPr>
          <w:w w:val="105"/>
        </w:rPr>
        <w:t xml:space="preserve"> control efficiency of</w:t>
      </w:r>
      <w:r>
        <w:rPr>
          <w:spacing w:val="-3"/>
          <w:w w:val="105"/>
        </w:rPr>
        <w:t xml:space="preserve"> </w:t>
      </w:r>
      <w:r>
        <w:rPr>
          <w:w w:val="105"/>
        </w:rPr>
        <w:t>the</w:t>
      </w:r>
      <w:r>
        <w:rPr>
          <w:spacing w:val="-4"/>
          <w:w w:val="105"/>
        </w:rPr>
        <w:t xml:space="preserve"> </w:t>
      </w:r>
      <w:r>
        <w:rPr>
          <w:w w:val="105"/>
        </w:rPr>
        <w:t xml:space="preserve">existing </w:t>
      </w:r>
      <w:r w:rsidR="00BE50DF">
        <w:rPr>
          <w:w w:val="105"/>
        </w:rPr>
        <w:t>DSI</w:t>
      </w:r>
      <w:r w:rsidR="00BE50DF">
        <w:rPr>
          <w:spacing w:val="-1"/>
          <w:w w:val="105"/>
        </w:rPr>
        <w:t xml:space="preserve"> </w:t>
      </w:r>
      <w:r>
        <w:rPr>
          <w:w w:val="105"/>
        </w:rPr>
        <w:t>system on Unit 1 would require an increase in the rate at which hydrated lime</w:t>
      </w:r>
      <w:r>
        <w:rPr>
          <w:spacing w:val="-3"/>
          <w:w w:val="105"/>
        </w:rPr>
        <w:t xml:space="preserve"> </w:t>
      </w:r>
      <w:r>
        <w:rPr>
          <w:w w:val="105"/>
        </w:rPr>
        <w:t>is injected…</w:t>
      </w:r>
      <w:r w:rsidRPr="005100DA">
        <w:rPr>
          <w:w w:val="105"/>
        </w:rPr>
        <w:t xml:space="preserve"> </w:t>
      </w:r>
      <w:r>
        <w:rPr>
          <w:w w:val="105"/>
        </w:rPr>
        <w:t>a much greater quantity of</w:t>
      </w:r>
      <w:r>
        <w:rPr>
          <w:spacing w:val="-6"/>
          <w:w w:val="105"/>
        </w:rPr>
        <w:t xml:space="preserve"> </w:t>
      </w:r>
      <w:r>
        <w:rPr>
          <w:w w:val="105"/>
        </w:rPr>
        <w:t>sorbent than is currently used would need to</w:t>
      </w:r>
      <w:r>
        <w:rPr>
          <w:spacing w:val="-5"/>
          <w:w w:val="105"/>
        </w:rPr>
        <w:t xml:space="preserve"> </w:t>
      </w:r>
      <w:r>
        <w:rPr>
          <w:w w:val="105"/>
        </w:rPr>
        <w:t>be</w:t>
      </w:r>
      <w:r>
        <w:rPr>
          <w:spacing w:val="-9"/>
          <w:w w:val="105"/>
        </w:rPr>
        <w:t xml:space="preserve"> </w:t>
      </w:r>
      <w:r>
        <w:rPr>
          <w:w w:val="105"/>
        </w:rPr>
        <w:t xml:space="preserve">injected to control </w:t>
      </w:r>
      <w:r w:rsidR="00D6102A" w:rsidRPr="008303E0">
        <w:t>SO</w:t>
      </w:r>
      <w:r w:rsidR="00D6102A" w:rsidRPr="00D6102A">
        <w:rPr>
          <w:vertAlign w:val="subscript"/>
        </w:rPr>
        <w:t>2</w:t>
      </w:r>
      <w:r w:rsidR="00BE50DF">
        <w:rPr>
          <w:w w:val="105"/>
        </w:rPr>
        <w:t xml:space="preserve"> </w:t>
      </w:r>
      <w:r>
        <w:rPr>
          <w:w w:val="105"/>
        </w:rPr>
        <w:t>emissions from Unit 1 with the</w:t>
      </w:r>
      <w:r>
        <w:rPr>
          <w:spacing w:val="-5"/>
          <w:w w:val="105"/>
        </w:rPr>
        <w:t xml:space="preserve"> </w:t>
      </w:r>
      <w:r>
        <w:rPr>
          <w:w w:val="105"/>
        </w:rPr>
        <w:t xml:space="preserve">existing hydrated </w:t>
      </w:r>
      <w:proofErr w:type="gramStart"/>
      <w:r>
        <w:rPr>
          <w:w w:val="105"/>
        </w:rPr>
        <w:t>lime-based</w:t>
      </w:r>
      <w:proofErr w:type="gramEnd"/>
      <w:r>
        <w:rPr>
          <w:w w:val="105"/>
        </w:rPr>
        <w:t xml:space="preserve"> DSI system</w:t>
      </w:r>
      <w:r w:rsidR="00863ED9">
        <w:rPr>
          <w:w w:val="105"/>
        </w:rPr>
        <w:t xml:space="preserve">.  </w:t>
      </w:r>
      <w:r>
        <w:rPr>
          <w:w w:val="105"/>
        </w:rPr>
        <w:t>As an increased lime injection rate</w:t>
      </w:r>
      <w:r>
        <w:rPr>
          <w:spacing w:val="-4"/>
          <w:w w:val="105"/>
        </w:rPr>
        <w:t xml:space="preserve"> </w:t>
      </w:r>
      <w:r>
        <w:rPr>
          <w:w w:val="105"/>
        </w:rPr>
        <w:t>would cause</w:t>
      </w:r>
      <w:r>
        <w:rPr>
          <w:spacing w:val="-1"/>
          <w:w w:val="105"/>
        </w:rPr>
        <w:t xml:space="preserve"> </w:t>
      </w:r>
      <w:r>
        <w:rPr>
          <w:w w:val="105"/>
        </w:rPr>
        <w:t>plugging problems and potentially make the</w:t>
      </w:r>
      <w:r>
        <w:rPr>
          <w:spacing w:val="-3"/>
          <w:w w:val="105"/>
        </w:rPr>
        <w:t xml:space="preserve"> </w:t>
      </w:r>
      <w:r>
        <w:rPr>
          <w:w w:val="105"/>
        </w:rPr>
        <w:t>collected fly</w:t>
      </w:r>
      <w:r>
        <w:rPr>
          <w:spacing w:val="-1"/>
          <w:w w:val="105"/>
        </w:rPr>
        <w:t xml:space="preserve"> </w:t>
      </w:r>
      <w:r>
        <w:rPr>
          <w:w w:val="105"/>
        </w:rPr>
        <w:t>ash hazardous, NVE does not consider this to be</w:t>
      </w:r>
      <w:r>
        <w:rPr>
          <w:spacing w:val="-1"/>
          <w:w w:val="105"/>
        </w:rPr>
        <w:t xml:space="preserve"> </w:t>
      </w:r>
      <w:r>
        <w:rPr>
          <w:w w:val="105"/>
        </w:rPr>
        <w:t>a technically feasible alternative.</w:t>
      </w:r>
    </w:p>
    <w:p w14:paraId="6E3E4996" w14:textId="158CCF47" w:rsidR="00B768B2" w:rsidRDefault="00B768B2" w:rsidP="00D56B46">
      <w:pPr>
        <w:contextualSpacing/>
      </w:pPr>
    </w:p>
    <w:p w14:paraId="55F89668" w14:textId="169E6213" w:rsidR="005100DA" w:rsidRDefault="00933DEA" w:rsidP="00D56B46">
      <w:pPr>
        <w:contextualSpacing/>
      </w:pPr>
      <w:r>
        <w:t>The NPS</w:t>
      </w:r>
      <w:r w:rsidR="00805139">
        <w:t xml:space="preserve"> </w:t>
      </w:r>
      <w:r>
        <w:t xml:space="preserve">recognizes </w:t>
      </w:r>
      <w:r w:rsidR="005100DA">
        <w:t xml:space="preserve">that the existing hydrated lime DSI system does not have the capacity to inject sorbent at the rate necessary to achieve the </w:t>
      </w:r>
      <w:r w:rsidR="00267F0A">
        <w:t>5</w:t>
      </w:r>
      <w:r w:rsidR="005100DA">
        <w:t>0% control level consistent with this technology</w:t>
      </w:r>
      <w:r w:rsidR="00BE404C">
        <w:t xml:space="preserve"> and</w:t>
      </w:r>
      <w:r w:rsidR="00573F8B">
        <w:t xml:space="preserve"> suggests</w:t>
      </w:r>
      <w:r w:rsidR="00267F0A">
        <w:t xml:space="preserve"> </w:t>
      </w:r>
      <w:r w:rsidR="005B2A12">
        <w:t>investigat</w:t>
      </w:r>
      <w:r w:rsidR="00573F8B">
        <w:t>ing</w:t>
      </w:r>
      <w:r w:rsidR="005B2A12">
        <w:t xml:space="preserve"> replacement of the existing hydrated lime DSI system with one of greater capacity</w:t>
      </w:r>
      <w:r w:rsidR="00863ED9">
        <w:t xml:space="preserve">.  </w:t>
      </w:r>
      <w:r w:rsidR="00267F0A">
        <w:t>NVE also raises the possibility that increased lime in the solid waste stream could render this material hazardous</w:t>
      </w:r>
      <w:r w:rsidR="00863ED9">
        <w:t xml:space="preserve">.  </w:t>
      </w:r>
      <w:r>
        <w:t>The NPS</w:t>
      </w:r>
      <w:r w:rsidR="0019360F">
        <w:t xml:space="preserve"> </w:t>
      </w:r>
      <w:r w:rsidR="00ED6AEB">
        <w:t>has not encountered this concer</w:t>
      </w:r>
      <w:r w:rsidR="001364EA">
        <w:t>n</w:t>
      </w:r>
      <w:r w:rsidR="540788FA">
        <w:t xml:space="preserve"> with other, similar systems.</w:t>
      </w:r>
    </w:p>
    <w:p w14:paraId="0DA79551" w14:textId="77777777" w:rsidR="00F33416" w:rsidRDefault="00F33416" w:rsidP="00D56B46">
      <w:pPr>
        <w:contextualSpacing/>
      </w:pPr>
    </w:p>
    <w:p w14:paraId="301CAEBE" w14:textId="77777777" w:rsidR="00F33416" w:rsidRDefault="00F33416" w:rsidP="00F33416">
      <w:pPr>
        <w:pStyle w:val="Heading4"/>
      </w:pPr>
      <w:r>
        <w:t>DSI with milled trona:</w:t>
      </w:r>
    </w:p>
    <w:p w14:paraId="62395845" w14:textId="56E5E174" w:rsidR="007E6C1F" w:rsidRDefault="007E6C1F" w:rsidP="00CF504A">
      <w:pPr>
        <w:rPr>
          <w:rFonts w:eastAsia="Calibri"/>
        </w:rPr>
      </w:pPr>
      <w:r>
        <w:rPr>
          <w:rFonts w:eastAsia="Calibri"/>
        </w:rPr>
        <w:t xml:space="preserve">NPS review finds that the updated NVE analysis overestimates the costs of control </w:t>
      </w:r>
      <w:r w:rsidR="006C5805">
        <w:rPr>
          <w:rFonts w:eastAsia="Calibri"/>
        </w:rPr>
        <w:t>for DSI with milled trona</w:t>
      </w:r>
      <w:r w:rsidR="0055204C">
        <w:rPr>
          <w:rFonts w:eastAsia="Calibri"/>
        </w:rPr>
        <w:t xml:space="preserve"> in the following circumstances</w:t>
      </w:r>
      <w:r w:rsidR="00863ED9">
        <w:rPr>
          <w:rFonts w:eastAsia="Calibri"/>
        </w:rPr>
        <w:t>.</w:t>
      </w:r>
    </w:p>
    <w:p w14:paraId="576883FE" w14:textId="4C06F2AF" w:rsidR="00F33416" w:rsidRPr="000C76F2" w:rsidRDefault="00F33416" w:rsidP="00F33416">
      <w:pPr>
        <w:pStyle w:val="ListParagraph"/>
        <w:numPr>
          <w:ilvl w:val="0"/>
          <w:numId w:val="31"/>
        </w:numPr>
        <w:contextualSpacing/>
        <w:rPr>
          <w:rFonts w:eastAsia="Calibri" w:cs="Calibri"/>
        </w:rPr>
      </w:pPr>
      <w:r w:rsidRPr="000C76F2">
        <w:rPr>
          <w:rFonts w:eastAsia="Calibri" w:cs="Calibri"/>
        </w:rPr>
        <w:t xml:space="preserve">NVE assumed that DSI with milled trona and a baghouse could achieve only 73.8% </w:t>
      </w:r>
      <w:r w:rsidRPr="008303E0">
        <w:t>SO</w:t>
      </w:r>
      <w:r w:rsidRPr="00D6102A">
        <w:rPr>
          <w:vertAlign w:val="subscript"/>
        </w:rPr>
        <w:t>2</w:t>
      </w:r>
      <w:r w:rsidRPr="000C76F2">
        <w:rPr>
          <w:rFonts w:eastAsia="Calibri" w:cs="Calibri"/>
        </w:rPr>
        <w:t xml:space="preserve"> removal</w:t>
      </w:r>
      <w:r w:rsidR="00863ED9">
        <w:rPr>
          <w:rFonts w:eastAsia="Calibri" w:cs="Calibri"/>
        </w:rPr>
        <w:t xml:space="preserve">.  </w:t>
      </w:r>
      <w:r w:rsidR="00682C8B">
        <w:rPr>
          <w:rFonts w:eastAsia="Calibri" w:cs="Calibri"/>
        </w:rPr>
        <w:t xml:space="preserve">In contrast, </w:t>
      </w:r>
      <w:r w:rsidRPr="000C76F2">
        <w:rPr>
          <w:rFonts w:eastAsia="Calibri" w:cs="Calibri"/>
        </w:rPr>
        <w:t>S&amp;L’s IPM model assumes 90% control.</w:t>
      </w:r>
    </w:p>
    <w:p w14:paraId="11F54881" w14:textId="419911B8" w:rsidR="00F33416" w:rsidRPr="000C76F2" w:rsidRDefault="00F33416" w:rsidP="00F33416">
      <w:pPr>
        <w:pStyle w:val="ListParagraph"/>
        <w:numPr>
          <w:ilvl w:val="0"/>
          <w:numId w:val="31"/>
        </w:numPr>
        <w:contextualSpacing/>
        <w:rPr>
          <w:sz w:val="23"/>
          <w:szCs w:val="23"/>
        </w:rPr>
      </w:pPr>
      <w:r w:rsidRPr="000C76F2">
        <w:rPr>
          <w:rFonts w:eastAsia="Calibri" w:cs="Calibri"/>
        </w:rPr>
        <w:lastRenderedPageBreak/>
        <w:t>NVE’s Contingency Cost is 17% of the sum of the Direct Costs and Indirect Costs; the CCM recommends that “</w:t>
      </w:r>
      <w:r w:rsidRPr="000C76F2">
        <w:rPr>
          <w:sz w:val="23"/>
          <w:szCs w:val="23"/>
        </w:rPr>
        <w:t>A default value of 10% of the direct and indirect costs is typically used for CF [Contingency Factor]</w:t>
      </w:r>
      <w:r w:rsidR="00863ED9">
        <w:rPr>
          <w:sz w:val="23"/>
          <w:szCs w:val="23"/>
        </w:rPr>
        <w:t xml:space="preserve">.  </w:t>
      </w:r>
      <w:r w:rsidRPr="000C76F2">
        <w:rPr>
          <w:sz w:val="23"/>
          <w:szCs w:val="23"/>
        </w:rPr>
        <w:t>However, values of between 5% and 15% may be used.”</w:t>
      </w:r>
    </w:p>
    <w:p w14:paraId="09EB32BE" w14:textId="77777777" w:rsidR="00F33416" w:rsidRPr="000C76F2" w:rsidRDefault="00F33416" w:rsidP="00F33416">
      <w:pPr>
        <w:pStyle w:val="ListParagraph"/>
        <w:numPr>
          <w:ilvl w:val="0"/>
          <w:numId w:val="31"/>
        </w:numPr>
        <w:contextualSpacing/>
        <w:rPr>
          <w:sz w:val="23"/>
          <w:szCs w:val="23"/>
        </w:rPr>
      </w:pPr>
      <w:r w:rsidRPr="000C76F2">
        <w:rPr>
          <w:sz w:val="23"/>
          <w:szCs w:val="23"/>
        </w:rPr>
        <w:t>NVE included a $4.9 million Owner’s Cost which is not allowed by the CCM.</w:t>
      </w:r>
    </w:p>
    <w:p w14:paraId="0A9C30BF" w14:textId="67B817B9" w:rsidR="00ED6167" w:rsidRPr="00206237" w:rsidRDefault="00F33416" w:rsidP="008A49E7">
      <w:pPr>
        <w:pStyle w:val="ListParagraph"/>
        <w:numPr>
          <w:ilvl w:val="0"/>
          <w:numId w:val="31"/>
        </w:numPr>
        <w:contextualSpacing/>
        <w:rPr>
          <w:rFonts w:eastAsiaTheme="minorHAnsi" w:cstheme="minorBidi"/>
        </w:rPr>
      </w:pPr>
      <w:r w:rsidRPr="00CF504A">
        <w:rPr>
          <w:sz w:val="23"/>
          <w:szCs w:val="23"/>
        </w:rPr>
        <w:t>NVE did not account for the cost savings resulting from elimination of the existing DSI system.</w:t>
      </w:r>
    </w:p>
    <w:p w14:paraId="20866E7A" w14:textId="784BE59E" w:rsidR="00F02CAA" w:rsidRPr="000C76F2" w:rsidRDefault="00F02CAA" w:rsidP="00CF504A">
      <w:pPr>
        <w:rPr>
          <w:rFonts w:eastAsia="Calibri"/>
        </w:rPr>
      </w:pPr>
      <w:r>
        <w:rPr>
          <w:rFonts w:eastAsia="Calibri"/>
        </w:rPr>
        <w:t xml:space="preserve">Further, </w:t>
      </w:r>
      <w:r w:rsidRPr="000C76F2">
        <w:rPr>
          <w:rFonts w:eastAsia="Calibri"/>
        </w:rPr>
        <w:t xml:space="preserve">Direct Costs </w:t>
      </w:r>
      <w:r>
        <w:rPr>
          <w:rFonts w:eastAsia="Calibri"/>
        </w:rPr>
        <w:t>and</w:t>
      </w:r>
      <w:r w:rsidRPr="000C76F2">
        <w:rPr>
          <w:rFonts w:eastAsia="Calibri"/>
        </w:rPr>
        <w:t xml:space="preserve"> Indirect Costs </w:t>
      </w:r>
      <w:r>
        <w:rPr>
          <w:rFonts w:eastAsia="Calibri"/>
        </w:rPr>
        <w:t>in the NVE analysis of this control option could not be confirmed</w:t>
      </w:r>
      <w:r w:rsidR="00863ED9">
        <w:rPr>
          <w:rFonts w:eastAsia="Calibri"/>
        </w:rPr>
        <w:t xml:space="preserve">.  </w:t>
      </w:r>
      <w:r w:rsidR="009B735F">
        <w:rPr>
          <w:rFonts w:eastAsia="Calibri"/>
        </w:rPr>
        <w:t>S</w:t>
      </w:r>
      <w:r>
        <w:rPr>
          <w:rFonts w:eastAsia="Calibri"/>
        </w:rPr>
        <w:t>upporting documentation for Direct Costs and Indirect Costs</w:t>
      </w:r>
      <w:r w:rsidR="009B735F">
        <w:rPr>
          <w:rFonts w:eastAsia="Calibri"/>
        </w:rPr>
        <w:t xml:space="preserve"> would improve </w:t>
      </w:r>
      <w:r w:rsidR="0027048A">
        <w:rPr>
          <w:rFonts w:eastAsia="Calibri"/>
        </w:rPr>
        <w:t xml:space="preserve">the justification for </w:t>
      </w:r>
      <w:r w:rsidR="008C2531">
        <w:rPr>
          <w:rFonts w:eastAsia="Calibri"/>
        </w:rPr>
        <w:t>t</w:t>
      </w:r>
      <w:r w:rsidR="00A40FF8">
        <w:rPr>
          <w:rFonts w:eastAsia="Calibri"/>
        </w:rPr>
        <w:t>he resulting calculations</w:t>
      </w:r>
      <w:r w:rsidR="00863ED9">
        <w:rPr>
          <w:rFonts w:eastAsia="Calibri"/>
        </w:rPr>
        <w:t xml:space="preserve">.  </w:t>
      </w:r>
    </w:p>
    <w:p w14:paraId="1F181057" w14:textId="77777777" w:rsidR="005100DA" w:rsidRPr="001D29D5" w:rsidRDefault="005100DA" w:rsidP="00CF504A"/>
    <w:p w14:paraId="19D9B604" w14:textId="2AB555B7" w:rsidR="00A33530" w:rsidRPr="00457B98" w:rsidRDefault="003F1F1E" w:rsidP="00394D49">
      <w:pPr>
        <w:pStyle w:val="Heading4"/>
      </w:pPr>
      <w:r>
        <w:t xml:space="preserve">Updated </w:t>
      </w:r>
      <w:r w:rsidR="00F37679" w:rsidRPr="00457B98">
        <w:t xml:space="preserve">NPS </w:t>
      </w:r>
      <w:r>
        <w:t>Analys</w:t>
      </w:r>
      <w:r w:rsidR="008773B3">
        <w:t>es</w:t>
      </w:r>
    </w:p>
    <w:p w14:paraId="5960DEF7" w14:textId="4CB91132" w:rsidR="00284937" w:rsidRDefault="00933DEA" w:rsidP="00D56B46">
      <w:pPr>
        <w:contextualSpacing/>
      </w:pPr>
      <w:r>
        <w:t>The NPS</w:t>
      </w:r>
      <w:r w:rsidR="002B0C78" w:rsidRPr="00457B98">
        <w:t xml:space="preserve"> agree</w:t>
      </w:r>
      <w:r w:rsidR="001364EA">
        <w:t>s</w:t>
      </w:r>
      <w:r w:rsidR="002B0C78" w:rsidRPr="00457B98">
        <w:t xml:space="preserve"> with NDEP that 2019 was not representative of current plant operations, </w:t>
      </w:r>
      <w:r w:rsidR="00A7393C">
        <w:t>as a result</w:t>
      </w:r>
      <w:r w:rsidR="002B0C78" w:rsidRPr="00457B98">
        <w:t xml:space="preserve"> 2016–2018 and 2020</w:t>
      </w:r>
      <w:r w:rsidR="007551BA">
        <w:t>–</w:t>
      </w:r>
      <w:r w:rsidR="002B0C78" w:rsidRPr="00457B98">
        <w:t xml:space="preserve">2021 data from </w:t>
      </w:r>
      <w:r w:rsidR="00ED2570">
        <w:t>CAMD</w:t>
      </w:r>
      <w:r w:rsidR="00A7393C">
        <w:t xml:space="preserve"> are used</w:t>
      </w:r>
      <w:r w:rsidR="00863ED9">
        <w:t xml:space="preserve">.  </w:t>
      </w:r>
      <w:r>
        <w:t>The NPS</w:t>
      </w:r>
      <w:r w:rsidR="004E22E4">
        <w:t xml:space="preserve"> </w:t>
      </w:r>
      <w:r w:rsidR="00284937">
        <w:t>developed estimates based upon the S&amp;L DSI IPM model.</w:t>
      </w:r>
    </w:p>
    <w:p w14:paraId="3838903C" w14:textId="77777777" w:rsidR="00284937" w:rsidRDefault="00284937" w:rsidP="00D56B46">
      <w:pPr>
        <w:contextualSpacing/>
      </w:pPr>
    </w:p>
    <w:p w14:paraId="5A3A375C" w14:textId="311F6A0B" w:rsidR="002B0C78" w:rsidRDefault="00933DEA" w:rsidP="00D56B46">
      <w:pPr>
        <w:contextualSpacing/>
      </w:pPr>
      <w:r>
        <w:t>The NPS</w:t>
      </w:r>
      <w:r w:rsidR="005B2A12">
        <w:t xml:space="preserve"> applied the S&amp;L DSI IPM methodologies for DSI with hydrated lime and with milled trona</w:t>
      </w:r>
      <w:r w:rsidR="00863ED9">
        <w:t xml:space="preserve">.  </w:t>
      </w:r>
      <w:r w:rsidR="001805F0">
        <w:t>Analyses</w:t>
      </w:r>
      <w:r w:rsidR="00F616E3">
        <w:t xml:space="preserve"> assumed that the existing hydrated lime system is completely depreciated, so the capital recovery costs of any new systems would be new (as well as the associated fixed maintenance cost assumed = 1.5% of the Total Capital Investment per the CCM)</w:t>
      </w:r>
      <w:r w:rsidR="00863ED9">
        <w:t xml:space="preserve">.  </w:t>
      </w:r>
      <w:r>
        <w:t>The NPS</w:t>
      </w:r>
      <w:r w:rsidR="002B0C78" w:rsidRPr="00457B98">
        <w:t xml:space="preserve"> </w:t>
      </w:r>
      <w:r w:rsidR="00F616E3">
        <w:t xml:space="preserve">also </w:t>
      </w:r>
      <w:r w:rsidR="002B0C78" w:rsidRPr="00457B98">
        <w:t>assumed that the existing hydrated lime injection system would be replaced</w:t>
      </w:r>
      <w:r w:rsidR="00382C8B">
        <w:t xml:space="preserve"> and</w:t>
      </w:r>
      <w:r w:rsidR="002B0C78" w:rsidRPr="00457B98">
        <w:t xml:space="preserve"> deduct</w:t>
      </w:r>
      <w:r w:rsidR="00382C8B">
        <w:t>ed</w:t>
      </w:r>
      <w:r w:rsidR="002B0C78" w:rsidRPr="00457B98">
        <w:t xml:space="preserve"> those operating costs from </w:t>
      </w:r>
      <w:r w:rsidR="005B1AA0">
        <w:t>the</w:t>
      </w:r>
      <w:r w:rsidR="002B0C78" w:rsidRPr="00457B98">
        <w:t xml:space="preserve"> analysis</w:t>
      </w:r>
      <w:r w:rsidR="00863ED9">
        <w:t xml:space="preserve">.  </w:t>
      </w:r>
      <w:r>
        <w:t>The NPS</w:t>
      </w:r>
      <w:r w:rsidR="005B1AA0">
        <w:t xml:space="preserve"> </w:t>
      </w:r>
      <w:r w:rsidR="005E5028">
        <w:t>added NVE’s estimate for addition of PAC to the Milled Trona option</w:t>
      </w:r>
      <w:r w:rsidR="001A60F7">
        <w:t xml:space="preserve"> and</w:t>
      </w:r>
      <w:r w:rsidR="00382C8B">
        <w:t xml:space="preserve"> based uncontrolled </w:t>
      </w:r>
      <w:r w:rsidR="00D6102A" w:rsidRPr="008303E0">
        <w:t>SO</w:t>
      </w:r>
      <w:r w:rsidR="00D6102A" w:rsidRPr="00D6102A">
        <w:rPr>
          <w:vertAlign w:val="subscript"/>
        </w:rPr>
        <w:t>2</w:t>
      </w:r>
      <w:r w:rsidR="00F616E3">
        <w:t xml:space="preserve"> </w:t>
      </w:r>
      <w:r w:rsidR="00382C8B">
        <w:t>emissions on the NVE estimate</w:t>
      </w:r>
      <w:r w:rsidR="00F616E3">
        <w:t>s of 22% control efficiency by the existing DSI and 1</w:t>
      </w:r>
      <w:r w:rsidR="004C70A6">
        <w:t>,</w:t>
      </w:r>
      <w:r w:rsidR="00F616E3">
        <w:t>812 tons of annual emissions.</w:t>
      </w:r>
    </w:p>
    <w:p w14:paraId="53DAA97F" w14:textId="77777777" w:rsidR="005E5028" w:rsidRPr="00457B98" w:rsidRDefault="005E5028" w:rsidP="00D56B46">
      <w:pPr>
        <w:contextualSpacing/>
      </w:pPr>
    </w:p>
    <w:p w14:paraId="066AAC93" w14:textId="1D33E930" w:rsidR="002B0C78" w:rsidRDefault="0077161C" w:rsidP="00D56B46">
      <w:pPr>
        <w:pStyle w:val="Caption"/>
        <w:contextualSpacing/>
        <w:rPr>
          <w:rFonts w:cs="Times New Roman"/>
        </w:rPr>
      </w:pPr>
      <w:r w:rsidRPr="00457B98">
        <w:rPr>
          <w:rFonts w:cs="Times New Roman"/>
        </w:rPr>
        <w:t xml:space="preserve">Table </w:t>
      </w:r>
      <w:r w:rsidR="0083515B" w:rsidRPr="00457B98">
        <w:rPr>
          <w:rFonts w:cs="Times New Roman"/>
        </w:rPr>
        <w:fldChar w:fldCharType="begin"/>
      </w:r>
      <w:r w:rsidR="0083515B" w:rsidRPr="00457B98">
        <w:rPr>
          <w:rFonts w:cs="Times New Roman"/>
        </w:rPr>
        <w:instrText xml:space="preserve"> SEQ Table \* ARABIC </w:instrText>
      </w:r>
      <w:r w:rsidR="0083515B" w:rsidRPr="00457B98">
        <w:rPr>
          <w:rFonts w:cs="Times New Roman"/>
        </w:rPr>
        <w:fldChar w:fldCharType="separate"/>
      </w:r>
      <w:r w:rsidR="00A53A98" w:rsidRPr="00457B98">
        <w:rPr>
          <w:rFonts w:cs="Times New Roman"/>
          <w:noProof/>
        </w:rPr>
        <w:t>2</w:t>
      </w:r>
      <w:r w:rsidR="0083515B" w:rsidRPr="00457B98">
        <w:rPr>
          <w:rFonts w:cs="Times New Roman"/>
          <w:noProof/>
        </w:rPr>
        <w:fldChar w:fldCharType="end"/>
      </w:r>
      <w:r w:rsidR="00863ED9">
        <w:rPr>
          <w:rFonts w:cs="Times New Roman"/>
        </w:rPr>
        <w:t xml:space="preserve">.  </w:t>
      </w:r>
      <w:r w:rsidR="00F93AE1">
        <w:rPr>
          <w:rFonts w:cs="Times New Roman"/>
        </w:rPr>
        <w:t xml:space="preserve">NPS </w:t>
      </w:r>
      <w:r w:rsidRPr="00457B98">
        <w:rPr>
          <w:rFonts w:cs="Times New Roman"/>
        </w:rPr>
        <w:t>DSI Control Cost Estimates for North Valmy Unit 1</w:t>
      </w:r>
    </w:p>
    <w:tbl>
      <w:tblPr>
        <w:tblW w:w="5000" w:type="pct"/>
        <w:tblLook w:val="04A0" w:firstRow="1" w:lastRow="0" w:firstColumn="1" w:lastColumn="0" w:noHBand="0" w:noVBand="1"/>
      </w:tblPr>
      <w:tblGrid>
        <w:gridCol w:w="2114"/>
        <w:gridCol w:w="1300"/>
        <w:gridCol w:w="1300"/>
        <w:gridCol w:w="1301"/>
        <w:gridCol w:w="1206"/>
        <w:gridCol w:w="1251"/>
        <w:gridCol w:w="868"/>
      </w:tblGrid>
      <w:tr w:rsidR="00382C8B" w:rsidRPr="00CF504A" w14:paraId="3D4CD942" w14:textId="77777777" w:rsidTr="00382C8B">
        <w:trPr>
          <w:trHeight w:val="646"/>
        </w:trPr>
        <w:tc>
          <w:tcPr>
            <w:tcW w:w="1133" w:type="pct"/>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25048970" w14:textId="77777777" w:rsidR="00382C8B" w:rsidRPr="00CF504A" w:rsidRDefault="00382C8B" w:rsidP="00382C8B">
            <w:pPr>
              <w:rPr>
                <w:color w:val="000000"/>
                <w:sz w:val="18"/>
                <w:szCs w:val="18"/>
              </w:rPr>
            </w:pPr>
            <w:r w:rsidRPr="00CF504A">
              <w:rPr>
                <w:color w:val="000000"/>
                <w:sz w:val="18"/>
                <w:szCs w:val="18"/>
              </w:rPr>
              <w:t>Sorbent</w:t>
            </w:r>
          </w:p>
        </w:tc>
        <w:tc>
          <w:tcPr>
            <w:tcW w:w="697" w:type="pct"/>
            <w:tcBorders>
              <w:top w:val="single" w:sz="8" w:space="0" w:color="auto"/>
              <w:left w:val="nil"/>
              <w:bottom w:val="single" w:sz="8" w:space="0" w:color="auto"/>
              <w:right w:val="single" w:sz="4" w:space="0" w:color="auto"/>
            </w:tcBorders>
            <w:shd w:val="clear" w:color="auto" w:fill="auto"/>
            <w:vAlign w:val="bottom"/>
            <w:hideMark/>
          </w:tcPr>
          <w:p w14:paraId="3A1942F6" w14:textId="1200D201" w:rsidR="00382C8B" w:rsidRPr="00CF504A" w:rsidRDefault="00382C8B" w:rsidP="00382C8B">
            <w:pPr>
              <w:jc w:val="center"/>
              <w:rPr>
                <w:color w:val="000000"/>
                <w:sz w:val="18"/>
                <w:szCs w:val="18"/>
              </w:rPr>
            </w:pPr>
            <w:r w:rsidRPr="00CF504A">
              <w:rPr>
                <w:color w:val="000000"/>
                <w:sz w:val="18"/>
                <w:szCs w:val="18"/>
              </w:rPr>
              <w:t>Existing Hydrated Lime</w:t>
            </w:r>
          </w:p>
        </w:tc>
        <w:tc>
          <w:tcPr>
            <w:tcW w:w="697" w:type="pct"/>
            <w:tcBorders>
              <w:top w:val="single" w:sz="8" w:space="0" w:color="auto"/>
              <w:left w:val="nil"/>
              <w:bottom w:val="single" w:sz="8" w:space="0" w:color="auto"/>
              <w:right w:val="single" w:sz="4" w:space="0" w:color="auto"/>
            </w:tcBorders>
            <w:shd w:val="clear" w:color="auto" w:fill="auto"/>
            <w:vAlign w:val="bottom"/>
            <w:hideMark/>
          </w:tcPr>
          <w:p w14:paraId="762AB6D3" w14:textId="44851BF9" w:rsidR="00382C8B" w:rsidRPr="00CF504A" w:rsidRDefault="00382C8B" w:rsidP="00382C8B">
            <w:pPr>
              <w:jc w:val="center"/>
              <w:rPr>
                <w:color w:val="000000"/>
                <w:sz w:val="18"/>
                <w:szCs w:val="18"/>
              </w:rPr>
            </w:pPr>
            <w:r w:rsidRPr="00CF504A">
              <w:rPr>
                <w:color w:val="000000"/>
                <w:sz w:val="18"/>
                <w:szCs w:val="18"/>
              </w:rPr>
              <w:t>New Hydrated Lime</w:t>
            </w:r>
          </w:p>
        </w:tc>
        <w:tc>
          <w:tcPr>
            <w:tcW w:w="697" w:type="pct"/>
            <w:tcBorders>
              <w:top w:val="single" w:sz="8" w:space="0" w:color="auto"/>
              <w:left w:val="nil"/>
              <w:bottom w:val="single" w:sz="8" w:space="0" w:color="auto"/>
              <w:right w:val="single" w:sz="4" w:space="0" w:color="auto"/>
            </w:tcBorders>
            <w:shd w:val="clear" w:color="auto" w:fill="auto"/>
            <w:vAlign w:val="bottom"/>
            <w:hideMark/>
          </w:tcPr>
          <w:p w14:paraId="5FB4A63A" w14:textId="418EEE5B" w:rsidR="00382C8B" w:rsidRPr="00CF504A" w:rsidRDefault="00382C8B" w:rsidP="00382C8B">
            <w:pPr>
              <w:jc w:val="center"/>
              <w:rPr>
                <w:color w:val="000000"/>
                <w:sz w:val="18"/>
                <w:szCs w:val="18"/>
              </w:rPr>
            </w:pPr>
            <w:r w:rsidRPr="00CF504A">
              <w:rPr>
                <w:color w:val="000000"/>
                <w:sz w:val="18"/>
                <w:szCs w:val="18"/>
              </w:rPr>
              <w:t xml:space="preserve">New Hydrated Lime </w:t>
            </w:r>
            <w:proofErr w:type="spellStart"/>
            <w:r w:rsidRPr="00CF504A">
              <w:rPr>
                <w:color w:val="000000"/>
                <w:sz w:val="18"/>
                <w:szCs w:val="18"/>
              </w:rPr>
              <w:t>Incrementals</w:t>
            </w:r>
            <w:proofErr w:type="spellEnd"/>
          </w:p>
        </w:tc>
        <w:tc>
          <w:tcPr>
            <w:tcW w:w="639" w:type="pct"/>
            <w:tcBorders>
              <w:top w:val="single" w:sz="8" w:space="0" w:color="auto"/>
              <w:left w:val="nil"/>
              <w:bottom w:val="single" w:sz="8" w:space="0" w:color="auto"/>
              <w:right w:val="single" w:sz="4" w:space="0" w:color="auto"/>
            </w:tcBorders>
            <w:shd w:val="clear" w:color="auto" w:fill="auto"/>
            <w:vAlign w:val="bottom"/>
            <w:hideMark/>
          </w:tcPr>
          <w:p w14:paraId="3059D65D" w14:textId="235AFD2A" w:rsidR="00382C8B" w:rsidRPr="00CF504A" w:rsidRDefault="00382C8B" w:rsidP="00382C8B">
            <w:pPr>
              <w:jc w:val="center"/>
              <w:rPr>
                <w:color w:val="000000"/>
                <w:sz w:val="18"/>
                <w:szCs w:val="18"/>
              </w:rPr>
            </w:pPr>
            <w:r w:rsidRPr="00CF504A">
              <w:rPr>
                <w:color w:val="000000"/>
                <w:sz w:val="18"/>
                <w:szCs w:val="18"/>
              </w:rPr>
              <w:t>Milled Trona</w:t>
            </w:r>
          </w:p>
        </w:tc>
        <w:tc>
          <w:tcPr>
            <w:tcW w:w="670" w:type="pct"/>
            <w:tcBorders>
              <w:top w:val="single" w:sz="8" w:space="0" w:color="auto"/>
              <w:left w:val="nil"/>
              <w:bottom w:val="single" w:sz="8" w:space="0" w:color="auto"/>
              <w:right w:val="single" w:sz="4" w:space="0" w:color="auto"/>
            </w:tcBorders>
            <w:shd w:val="clear" w:color="auto" w:fill="auto"/>
            <w:vAlign w:val="bottom"/>
            <w:hideMark/>
          </w:tcPr>
          <w:p w14:paraId="018178B8" w14:textId="74AF0182" w:rsidR="00382C8B" w:rsidRPr="00CF504A" w:rsidRDefault="00382C8B" w:rsidP="00382C8B">
            <w:pPr>
              <w:jc w:val="center"/>
              <w:rPr>
                <w:color w:val="000000"/>
                <w:sz w:val="18"/>
                <w:szCs w:val="18"/>
              </w:rPr>
            </w:pPr>
            <w:r w:rsidRPr="00CF504A">
              <w:rPr>
                <w:color w:val="000000"/>
                <w:sz w:val="18"/>
                <w:szCs w:val="18"/>
              </w:rPr>
              <w:t xml:space="preserve">Milled Trona </w:t>
            </w:r>
            <w:proofErr w:type="spellStart"/>
            <w:r w:rsidRPr="00CF504A">
              <w:rPr>
                <w:color w:val="000000"/>
                <w:sz w:val="18"/>
                <w:szCs w:val="18"/>
              </w:rPr>
              <w:t>Incrementals</w:t>
            </w:r>
            <w:proofErr w:type="spellEnd"/>
          </w:p>
        </w:tc>
        <w:tc>
          <w:tcPr>
            <w:tcW w:w="465" w:type="pct"/>
            <w:tcBorders>
              <w:top w:val="single" w:sz="8" w:space="0" w:color="auto"/>
              <w:left w:val="nil"/>
              <w:bottom w:val="single" w:sz="8" w:space="0" w:color="auto"/>
              <w:right w:val="single" w:sz="8" w:space="0" w:color="auto"/>
            </w:tcBorders>
            <w:shd w:val="clear" w:color="auto" w:fill="auto"/>
            <w:noWrap/>
            <w:vAlign w:val="bottom"/>
            <w:hideMark/>
          </w:tcPr>
          <w:p w14:paraId="5F00D088" w14:textId="77777777" w:rsidR="00382C8B" w:rsidRPr="00CF504A" w:rsidRDefault="00382C8B" w:rsidP="00382C8B">
            <w:pPr>
              <w:rPr>
                <w:color w:val="000000"/>
                <w:sz w:val="18"/>
                <w:szCs w:val="18"/>
              </w:rPr>
            </w:pPr>
            <w:r w:rsidRPr="00CF504A">
              <w:rPr>
                <w:color w:val="000000"/>
                <w:sz w:val="18"/>
                <w:szCs w:val="18"/>
              </w:rPr>
              <w:t>Units</w:t>
            </w:r>
          </w:p>
        </w:tc>
      </w:tr>
      <w:tr w:rsidR="00382C8B" w:rsidRPr="00CF504A" w14:paraId="38F7D458" w14:textId="77777777" w:rsidTr="00382C8B">
        <w:trPr>
          <w:trHeight w:val="290"/>
        </w:trPr>
        <w:tc>
          <w:tcPr>
            <w:tcW w:w="1133" w:type="pct"/>
            <w:tcBorders>
              <w:top w:val="nil"/>
              <w:left w:val="single" w:sz="8" w:space="0" w:color="auto"/>
              <w:bottom w:val="single" w:sz="4" w:space="0" w:color="auto"/>
              <w:right w:val="single" w:sz="4" w:space="0" w:color="auto"/>
            </w:tcBorders>
            <w:shd w:val="clear" w:color="auto" w:fill="auto"/>
            <w:noWrap/>
            <w:vAlign w:val="center"/>
            <w:hideMark/>
          </w:tcPr>
          <w:p w14:paraId="483794D7" w14:textId="77777777" w:rsidR="00382C8B" w:rsidRPr="00CF504A" w:rsidRDefault="00382C8B" w:rsidP="00382C8B">
            <w:pPr>
              <w:rPr>
                <w:color w:val="000000"/>
                <w:sz w:val="18"/>
                <w:szCs w:val="18"/>
              </w:rPr>
            </w:pPr>
            <w:r w:rsidRPr="00CF504A">
              <w:rPr>
                <w:color w:val="000000"/>
                <w:sz w:val="18"/>
                <w:szCs w:val="18"/>
              </w:rPr>
              <w:t>Total Capital Investment</w:t>
            </w:r>
          </w:p>
        </w:tc>
        <w:tc>
          <w:tcPr>
            <w:tcW w:w="697" w:type="pct"/>
            <w:tcBorders>
              <w:top w:val="nil"/>
              <w:left w:val="nil"/>
              <w:bottom w:val="single" w:sz="4" w:space="0" w:color="auto"/>
              <w:right w:val="single" w:sz="4" w:space="0" w:color="auto"/>
            </w:tcBorders>
            <w:shd w:val="clear" w:color="auto" w:fill="auto"/>
            <w:noWrap/>
            <w:vAlign w:val="center"/>
            <w:hideMark/>
          </w:tcPr>
          <w:p w14:paraId="1755CA1C" w14:textId="57209488" w:rsidR="00382C8B" w:rsidRPr="00CF504A" w:rsidRDefault="00382C8B" w:rsidP="00382C8B">
            <w:pPr>
              <w:jc w:val="center"/>
              <w:rPr>
                <w:color w:val="000000"/>
                <w:sz w:val="18"/>
                <w:szCs w:val="18"/>
              </w:rPr>
            </w:pPr>
          </w:p>
        </w:tc>
        <w:tc>
          <w:tcPr>
            <w:tcW w:w="697" w:type="pct"/>
            <w:tcBorders>
              <w:top w:val="nil"/>
              <w:left w:val="nil"/>
              <w:bottom w:val="single" w:sz="4" w:space="0" w:color="auto"/>
              <w:right w:val="single" w:sz="4" w:space="0" w:color="auto"/>
            </w:tcBorders>
            <w:shd w:val="clear" w:color="auto" w:fill="auto"/>
            <w:noWrap/>
            <w:vAlign w:val="center"/>
            <w:hideMark/>
          </w:tcPr>
          <w:p w14:paraId="51374B05" w14:textId="4A6BFB66" w:rsidR="00382C8B" w:rsidRPr="00CF504A" w:rsidRDefault="00382C8B" w:rsidP="00382C8B">
            <w:pPr>
              <w:jc w:val="center"/>
              <w:rPr>
                <w:color w:val="000000"/>
                <w:sz w:val="18"/>
                <w:szCs w:val="18"/>
              </w:rPr>
            </w:pPr>
            <w:r w:rsidRPr="00CF504A">
              <w:rPr>
                <w:color w:val="000000"/>
                <w:sz w:val="18"/>
                <w:szCs w:val="18"/>
              </w:rPr>
              <w:t>$   14,063,839</w:t>
            </w:r>
          </w:p>
        </w:tc>
        <w:tc>
          <w:tcPr>
            <w:tcW w:w="697" w:type="pct"/>
            <w:tcBorders>
              <w:top w:val="nil"/>
              <w:left w:val="nil"/>
              <w:bottom w:val="single" w:sz="4" w:space="0" w:color="auto"/>
              <w:right w:val="single" w:sz="4" w:space="0" w:color="auto"/>
            </w:tcBorders>
            <w:shd w:val="clear" w:color="auto" w:fill="auto"/>
            <w:noWrap/>
            <w:vAlign w:val="center"/>
            <w:hideMark/>
          </w:tcPr>
          <w:p w14:paraId="5145D728" w14:textId="0D5C91F0" w:rsidR="00382C8B" w:rsidRPr="00CF504A" w:rsidRDefault="00382C8B" w:rsidP="00382C8B">
            <w:pPr>
              <w:jc w:val="center"/>
              <w:rPr>
                <w:color w:val="000000"/>
                <w:sz w:val="18"/>
                <w:szCs w:val="18"/>
              </w:rPr>
            </w:pPr>
            <w:r w:rsidRPr="00CF504A">
              <w:rPr>
                <w:color w:val="000000"/>
                <w:sz w:val="18"/>
                <w:szCs w:val="18"/>
              </w:rPr>
              <w:t>$   14,063,839</w:t>
            </w:r>
          </w:p>
        </w:tc>
        <w:tc>
          <w:tcPr>
            <w:tcW w:w="639" w:type="pct"/>
            <w:tcBorders>
              <w:top w:val="nil"/>
              <w:left w:val="nil"/>
              <w:bottom w:val="single" w:sz="4" w:space="0" w:color="auto"/>
              <w:right w:val="single" w:sz="4" w:space="0" w:color="auto"/>
            </w:tcBorders>
            <w:shd w:val="clear" w:color="auto" w:fill="auto"/>
            <w:noWrap/>
            <w:vAlign w:val="center"/>
            <w:hideMark/>
          </w:tcPr>
          <w:p w14:paraId="7F5BF949" w14:textId="371BB9D4" w:rsidR="00382C8B" w:rsidRPr="00CF504A" w:rsidRDefault="00382C8B" w:rsidP="00382C8B">
            <w:pPr>
              <w:jc w:val="center"/>
              <w:rPr>
                <w:color w:val="000000"/>
                <w:sz w:val="18"/>
                <w:szCs w:val="18"/>
              </w:rPr>
            </w:pPr>
            <w:r w:rsidRPr="00CF504A">
              <w:rPr>
                <w:color w:val="000000"/>
                <w:sz w:val="18"/>
                <w:szCs w:val="18"/>
              </w:rPr>
              <w:t>$ 24,304,927</w:t>
            </w:r>
          </w:p>
        </w:tc>
        <w:tc>
          <w:tcPr>
            <w:tcW w:w="670" w:type="pct"/>
            <w:tcBorders>
              <w:top w:val="nil"/>
              <w:left w:val="nil"/>
              <w:bottom w:val="single" w:sz="4" w:space="0" w:color="auto"/>
              <w:right w:val="nil"/>
            </w:tcBorders>
            <w:shd w:val="clear" w:color="auto" w:fill="auto"/>
            <w:noWrap/>
            <w:vAlign w:val="center"/>
            <w:hideMark/>
          </w:tcPr>
          <w:p w14:paraId="06776AF8" w14:textId="5DC5C381" w:rsidR="00382C8B" w:rsidRPr="00CF504A" w:rsidRDefault="00382C8B" w:rsidP="00382C8B">
            <w:pPr>
              <w:jc w:val="center"/>
              <w:rPr>
                <w:color w:val="000000"/>
                <w:sz w:val="18"/>
                <w:szCs w:val="18"/>
              </w:rPr>
            </w:pPr>
            <w:r w:rsidRPr="00CF504A">
              <w:rPr>
                <w:color w:val="000000"/>
                <w:sz w:val="18"/>
                <w:szCs w:val="18"/>
              </w:rPr>
              <w:t>$ 24,304,927</w:t>
            </w:r>
          </w:p>
        </w:tc>
        <w:tc>
          <w:tcPr>
            <w:tcW w:w="465" w:type="pct"/>
            <w:tcBorders>
              <w:top w:val="nil"/>
              <w:left w:val="single" w:sz="4" w:space="0" w:color="auto"/>
              <w:bottom w:val="single" w:sz="4" w:space="0" w:color="auto"/>
              <w:right w:val="single" w:sz="8" w:space="0" w:color="auto"/>
            </w:tcBorders>
            <w:shd w:val="clear" w:color="auto" w:fill="auto"/>
            <w:noWrap/>
            <w:vAlign w:val="center"/>
            <w:hideMark/>
          </w:tcPr>
          <w:p w14:paraId="2E4F72E7" w14:textId="77777777" w:rsidR="00382C8B" w:rsidRPr="00CF504A" w:rsidRDefault="00382C8B" w:rsidP="00382C8B">
            <w:pPr>
              <w:jc w:val="center"/>
              <w:rPr>
                <w:color w:val="000000"/>
                <w:sz w:val="18"/>
                <w:szCs w:val="18"/>
              </w:rPr>
            </w:pPr>
            <w:r w:rsidRPr="00CF504A">
              <w:rPr>
                <w:color w:val="000000"/>
                <w:sz w:val="18"/>
                <w:szCs w:val="18"/>
              </w:rPr>
              <w:t>(2019$)</w:t>
            </w:r>
          </w:p>
        </w:tc>
      </w:tr>
      <w:tr w:rsidR="00382C8B" w:rsidRPr="00CF504A" w14:paraId="59E8C1B2" w14:textId="77777777" w:rsidTr="00382C8B">
        <w:trPr>
          <w:trHeight w:val="290"/>
        </w:trPr>
        <w:tc>
          <w:tcPr>
            <w:tcW w:w="1133" w:type="pct"/>
            <w:tcBorders>
              <w:top w:val="nil"/>
              <w:left w:val="single" w:sz="8" w:space="0" w:color="auto"/>
              <w:bottom w:val="single" w:sz="4" w:space="0" w:color="auto"/>
              <w:right w:val="single" w:sz="4" w:space="0" w:color="auto"/>
            </w:tcBorders>
            <w:shd w:val="clear" w:color="auto" w:fill="auto"/>
            <w:noWrap/>
            <w:vAlign w:val="center"/>
            <w:hideMark/>
          </w:tcPr>
          <w:p w14:paraId="169A184D" w14:textId="77777777" w:rsidR="00382C8B" w:rsidRPr="00CF504A" w:rsidRDefault="00382C8B" w:rsidP="00382C8B">
            <w:pPr>
              <w:rPr>
                <w:color w:val="000000"/>
                <w:sz w:val="18"/>
                <w:szCs w:val="18"/>
              </w:rPr>
            </w:pPr>
            <w:r w:rsidRPr="00CF504A">
              <w:rPr>
                <w:color w:val="000000"/>
                <w:sz w:val="18"/>
                <w:szCs w:val="18"/>
              </w:rPr>
              <w:t>Capital Recovery Cost</w:t>
            </w:r>
          </w:p>
        </w:tc>
        <w:tc>
          <w:tcPr>
            <w:tcW w:w="697" w:type="pct"/>
            <w:tcBorders>
              <w:top w:val="nil"/>
              <w:left w:val="nil"/>
              <w:bottom w:val="single" w:sz="4" w:space="0" w:color="auto"/>
              <w:right w:val="single" w:sz="4" w:space="0" w:color="auto"/>
            </w:tcBorders>
            <w:shd w:val="clear" w:color="auto" w:fill="auto"/>
            <w:noWrap/>
            <w:vAlign w:val="center"/>
            <w:hideMark/>
          </w:tcPr>
          <w:p w14:paraId="30A2FDC4" w14:textId="06EA1524" w:rsidR="00382C8B" w:rsidRPr="00CF504A" w:rsidRDefault="00382C8B" w:rsidP="00382C8B">
            <w:pPr>
              <w:jc w:val="center"/>
              <w:rPr>
                <w:color w:val="000000"/>
                <w:sz w:val="18"/>
                <w:szCs w:val="18"/>
              </w:rPr>
            </w:pPr>
          </w:p>
        </w:tc>
        <w:tc>
          <w:tcPr>
            <w:tcW w:w="697" w:type="pct"/>
            <w:tcBorders>
              <w:top w:val="nil"/>
              <w:left w:val="nil"/>
              <w:bottom w:val="single" w:sz="4" w:space="0" w:color="auto"/>
              <w:right w:val="single" w:sz="4" w:space="0" w:color="auto"/>
            </w:tcBorders>
            <w:shd w:val="clear" w:color="auto" w:fill="auto"/>
            <w:noWrap/>
            <w:vAlign w:val="center"/>
            <w:hideMark/>
          </w:tcPr>
          <w:p w14:paraId="77EE2017" w14:textId="0BBE20AF" w:rsidR="00382C8B" w:rsidRPr="00CF504A" w:rsidRDefault="00382C8B" w:rsidP="00382C8B">
            <w:pPr>
              <w:jc w:val="center"/>
              <w:rPr>
                <w:color w:val="000000"/>
                <w:sz w:val="18"/>
                <w:szCs w:val="18"/>
              </w:rPr>
            </w:pPr>
            <w:r w:rsidRPr="00CF504A">
              <w:rPr>
                <w:color w:val="000000"/>
                <w:sz w:val="18"/>
                <w:szCs w:val="18"/>
              </w:rPr>
              <w:t>$     4,128,632</w:t>
            </w:r>
          </w:p>
        </w:tc>
        <w:tc>
          <w:tcPr>
            <w:tcW w:w="697" w:type="pct"/>
            <w:tcBorders>
              <w:top w:val="nil"/>
              <w:left w:val="nil"/>
              <w:bottom w:val="single" w:sz="4" w:space="0" w:color="auto"/>
              <w:right w:val="single" w:sz="4" w:space="0" w:color="auto"/>
            </w:tcBorders>
            <w:shd w:val="clear" w:color="auto" w:fill="auto"/>
            <w:noWrap/>
            <w:vAlign w:val="center"/>
            <w:hideMark/>
          </w:tcPr>
          <w:p w14:paraId="05521509" w14:textId="339BB0AA" w:rsidR="00382C8B" w:rsidRPr="00CF504A" w:rsidRDefault="00382C8B" w:rsidP="00382C8B">
            <w:pPr>
              <w:jc w:val="center"/>
              <w:rPr>
                <w:color w:val="000000"/>
                <w:sz w:val="18"/>
                <w:szCs w:val="18"/>
              </w:rPr>
            </w:pPr>
            <w:r w:rsidRPr="00CF504A">
              <w:rPr>
                <w:color w:val="000000"/>
                <w:sz w:val="18"/>
                <w:szCs w:val="18"/>
              </w:rPr>
              <w:t>$     4,128,632</w:t>
            </w:r>
          </w:p>
        </w:tc>
        <w:tc>
          <w:tcPr>
            <w:tcW w:w="639" w:type="pct"/>
            <w:tcBorders>
              <w:top w:val="nil"/>
              <w:left w:val="nil"/>
              <w:bottom w:val="single" w:sz="4" w:space="0" w:color="auto"/>
              <w:right w:val="single" w:sz="4" w:space="0" w:color="auto"/>
            </w:tcBorders>
            <w:shd w:val="clear" w:color="auto" w:fill="auto"/>
            <w:noWrap/>
            <w:vAlign w:val="center"/>
            <w:hideMark/>
          </w:tcPr>
          <w:p w14:paraId="38FDA55B" w14:textId="6E8676A4" w:rsidR="00382C8B" w:rsidRPr="00CF504A" w:rsidRDefault="00382C8B" w:rsidP="00382C8B">
            <w:pPr>
              <w:jc w:val="center"/>
              <w:rPr>
                <w:color w:val="000000"/>
                <w:sz w:val="18"/>
                <w:szCs w:val="18"/>
              </w:rPr>
            </w:pPr>
            <w:r w:rsidRPr="00CF504A">
              <w:rPr>
                <w:color w:val="000000"/>
                <w:sz w:val="18"/>
                <w:szCs w:val="18"/>
              </w:rPr>
              <w:t>$   7,135,044</w:t>
            </w:r>
          </w:p>
        </w:tc>
        <w:tc>
          <w:tcPr>
            <w:tcW w:w="670" w:type="pct"/>
            <w:tcBorders>
              <w:top w:val="nil"/>
              <w:left w:val="nil"/>
              <w:bottom w:val="single" w:sz="4" w:space="0" w:color="auto"/>
              <w:right w:val="nil"/>
            </w:tcBorders>
            <w:shd w:val="clear" w:color="auto" w:fill="auto"/>
            <w:noWrap/>
            <w:vAlign w:val="center"/>
            <w:hideMark/>
          </w:tcPr>
          <w:p w14:paraId="75BD588A" w14:textId="1E6004EE" w:rsidR="00382C8B" w:rsidRPr="00CF504A" w:rsidRDefault="00382C8B" w:rsidP="00382C8B">
            <w:pPr>
              <w:jc w:val="center"/>
              <w:rPr>
                <w:color w:val="000000"/>
                <w:sz w:val="18"/>
                <w:szCs w:val="18"/>
              </w:rPr>
            </w:pPr>
            <w:r w:rsidRPr="00CF504A">
              <w:rPr>
                <w:color w:val="000000"/>
                <w:sz w:val="18"/>
                <w:szCs w:val="18"/>
              </w:rPr>
              <w:t>$   7,135,044</w:t>
            </w:r>
          </w:p>
        </w:tc>
        <w:tc>
          <w:tcPr>
            <w:tcW w:w="465" w:type="pct"/>
            <w:tcBorders>
              <w:top w:val="nil"/>
              <w:left w:val="single" w:sz="4" w:space="0" w:color="auto"/>
              <w:bottom w:val="single" w:sz="4" w:space="0" w:color="auto"/>
              <w:right w:val="single" w:sz="8" w:space="0" w:color="auto"/>
            </w:tcBorders>
            <w:shd w:val="clear" w:color="auto" w:fill="auto"/>
            <w:noWrap/>
            <w:vAlign w:val="center"/>
            <w:hideMark/>
          </w:tcPr>
          <w:p w14:paraId="7BFAA715" w14:textId="77777777" w:rsidR="00382C8B" w:rsidRPr="00CF504A" w:rsidRDefault="00382C8B" w:rsidP="00382C8B">
            <w:pPr>
              <w:jc w:val="center"/>
              <w:rPr>
                <w:color w:val="000000"/>
                <w:sz w:val="18"/>
                <w:szCs w:val="18"/>
              </w:rPr>
            </w:pPr>
            <w:r w:rsidRPr="00CF504A">
              <w:rPr>
                <w:color w:val="000000"/>
                <w:sz w:val="18"/>
                <w:szCs w:val="18"/>
              </w:rPr>
              <w:t>/</w:t>
            </w:r>
            <w:proofErr w:type="spellStart"/>
            <w:proofErr w:type="gramStart"/>
            <w:r w:rsidRPr="00CF504A">
              <w:rPr>
                <w:color w:val="000000"/>
                <w:sz w:val="18"/>
                <w:szCs w:val="18"/>
              </w:rPr>
              <w:t>yr</w:t>
            </w:r>
            <w:proofErr w:type="spellEnd"/>
            <w:proofErr w:type="gramEnd"/>
          </w:p>
        </w:tc>
      </w:tr>
      <w:tr w:rsidR="00382C8B" w:rsidRPr="00CF504A" w14:paraId="4EC275E8" w14:textId="77777777" w:rsidTr="00382C8B">
        <w:trPr>
          <w:trHeight w:val="290"/>
        </w:trPr>
        <w:tc>
          <w:tcPr>
            <w:tcW w:w="1133" w:type="pct"/>
            <w:tcBorders>
              <w:top w:val="nil"/>
              <w:left w:val="single" w:sz="8" w:space="0" w:color="auto"/>
              <w:bottom w:val="single" w:sz="4" w:space="0" w:color="auto"/>
              <w:right w:val="single" w:sz="4" w:space="0" w:color="auto"/>
            </w:tcBorders>
            <w:shd w:val="clear" w:color="auto" w:fill="auto"/>
            <w:noWrap/>
            <w:vAlign w:val="center"/>
            <w:hideMark/>
          </w:tcPr>
          <w:p w14:paraId="515BA740" w14:textId="77777777" w:rsidR="00382C8B" w:rsidRPr="00CF504A" w:rsidRDefault="00382C8B" w:rsidP="00382C8B">
            <w:pPr>
              <w:rPr>
                <w:color w:val="000000"/>
                <w:sz w:val="18"/>
                <w:szCs w:val="18"/>
              </w:rPr>
            </w:pPr>
            <w:r w:rsidRPr="00CF504A">
              <w:rPr>
                <w:color w:val="000000"/>
                <w:sz w:val="18"/>
                <w:szCs w:val="18"/>
              </w:rPr>
              <w:t>Fixed O&amp;M</w:t>
            </w:r>
          </w:p>
        </w:tc>
        <w:tc>
          <w:tcPr>
            <w:tcW w:w="697" w:type="pct"/>
            <w:tcBorders>
              <w:top w:val="nil"/>
              <w:left w:val="nil"/>
              <w:bottom w:val="single" w:sz="4" w:space="0" w:color="auto"/>
              <w:right w:val="single" w:sz="4" w:space="0" w:color="auto"/>
            </w:tcBorders>
            <w:shd w:val="clear" w:color="auto" w:fill="auto"/>
            <w:noWrap/>
            <w:vAlign w:val="center"/>
            <w:hideMark/>
          </w:tcPr>
          <w:p w14:paraId="442C1712" w14:textId="64A9D143" w:rsidR="00382C8B" w:rsidRPr="00CF504A" w:rsidRDefault="00382C8B" w:rsidP="00382C8B">
            <w:pPr>
              <w:jc w:val="center"/>
              <w:rPr>
                <w:color w:val="000000"/>
                <w:sz w:val="18"/>
                <w:szCs w:val="18"/>
              </w:rPr>
            </w:pPr>
          </w:p>
        </w:tc>
        <w:tc>
          <w:tcPr>
            <w:tcW w:w="697" w:type="pct"/>
            <w:tcBorders>
              <w:top w:val="nil"/>
              <w:left w:val="nil"/>
              <w:bottom w:val="single" w:sz="4" w:space="0" w:color="auto"/>
              <w:right w:val="single" w:sz="4" w:space="0" w:color="auto"/>
            </w:tcBorders>
            <w:shd w:val="clear" w:color="auto" w:fill="auto"/>
            <w:noWrap/>
            <w:vAlign w:val="center"/>
            <w:hideMark/>
          </w:tcPr>
          <w:p w14:paraId="6A7DD8B1" w14:textId="30BED94C" w:rsidR="00382C8B" w:rsidRPr="00CF504A" w:rsidRDefault="00382C8B" w:rsidP="00382C8B">
            <w:pPr>
              <w:jc w:val="center"/>
              <w:rPr>
                <w:color w:val="000000"/>
                <w:sz w:val="18"/>
                <w:szCs w:val="18"/>
              </w:rPr>
            </w:pPr>
            <w:r w:rsidRPr="00CF504A">
              <w:rPr>
                <w:color w:val="000000"/>
                <w:sz w:val="18"/>
                <w:szCs w:val="18"/>
              </w:rPr>
              <w:t>$        339,850</w:t>
            </w:r>
          </w:p>
        </w:tc>
        <w:tc>
          <w:tcPr>
            <w:tcW w:w="697" w:type="pct"/>
            <w:tcBorders>
              <w:top w:val="nil"/>
              <w:left w:val="nil"/>
              <w:bottom w:val="single" w:sz="4" w:space="0" w:color="auto"/>
              <w:right w:val="single" w:sz="4" w:space="0" w:color="auto"/>
            </w:tcBorders>
            <w:shd w:val="clear" w:color="auto" w:fill="auto"/>
            <w:noWrap/>
            <w:vAlign w:val="center"/>
            <w:hideMark/>
          </w:tcPr>
          <w:p w14:paraId="78EEDF41" w14:textId="1CC8B151" w:rsidR="00382C8B" w:rsidRPr="00CF504A" w:rsidRDefault="00382C8B" w:rsidP="00382C8B">
            <w:pPr>
              <w:jc w:val="center"/>
              <w:rPr>
                <w:color w:val="000000"/>
                <w:sz w:val="18"/>
                <w:szCs w:val="18"/>
              </w:rPr>
            </w:pPr>
            <w:r w:rsidRPr="00CF504A">
              <w:rPr>
                <w:color w:val="000000"/>
                <w:sz w:val="18"/>
                <w:szCs w:val="18"/>
              </w:rPr>
              <w:t>$        339,850</w:t>
            </w:r>
          </w:p>
        </w:tc>
        <w:tc>
          <w:tcPr>
            <w:tcW w:w="639" w:type="pct"/>
            <w:tcBorders>
              <w:top w:val="nil"/>
              <w:left w:val="nil"/>
              <w:bottom w:val="single" w:sz="4" w:space="0" w:color="auto"/>
              <w:right w:val="single" w:sz="4" w:space="0" w:color="auto"/>
            </w:tcBorders>
            <w:shd w:val="clear" w:color="auto" w:fill="auto"/>
            <w:noWrap/>
            <w:vAlign w:val="center"/>
            <w:hideMark/>
          </w:tcPr>
          <w:p w14:paraId="7EF7C276" w14:textId="78F0C74A" w:rsidR="00382C8B" w:rsidRPr="00CF504A" w:rsidRDefault="00382C8B" w:rsidP="00382C8B">
            <w:pPr>
              <w:jc w:val="center"/>
              <w:rPr>
                <w:color w:val="000000"/>
                <w:sz w:val="18"/>
                <w:szCs w:val="18"/>
              </w:rPr>
            </w:pPr>
            <w:r w:rsidRPr="00CF504A">
              <w:rPr>
                <w:color w:val="000000"/>
                <w:sz w:val="18"/>
                <w:szCs w:val="18"/>
              </w:rPr>
              <w:t>$      400,135</w:t>
            </w:r>
          </w:p>
        </w:tc>
        <w:tc>
          <w:tcPr>
            <w:tcW w:w="670" w:type="pct"/>
            <w:tcBorders>
              <w:top w:val="nil"/>
              <w:left w:val="nil"/>
              <w:bottom w:val="single" w:sz="4" w:space="0" w:color="auto"/>
              <w:right w:val="nil"/>
            </w:tcBorders>
            <w:shd w:val="clear" w:color="auto" w:fill="auto"/>
            <w:noWrap/>
            <w:vAlign w:val="center"/>
            <w:hideMark/>
          </w:tcPr>
          <w:p w14:paraId="01EC20D5" w14:textId="37263842" w:rsidR="00382C8B" w:rsidRPr="00CF504A" w:rsidRDefault="00382C8B" w:rsidP="00382C8B">
            <w:pPr>
              <w:jc w:val="center"/>
              <w:rPr>
                <w:color w:val="000000"/>
                <w:sz w:val="18"/>
                <w:szCs w:val="18"/>
              </w:rPr>
            </w:pPr>
            <w:r w:rsidRPr="00CF504A">
              <w:rPr>
                <w:color w:val="000000"/>
                <w:sz w:val="18"/>
                <w:szCs w:val="18"/>
              </w:rPr>
              <w:t>$      364,574</w:t>
            </w:r>
          </w:p>
        </w:tc>
        <w:tc>
          <w:tcPr>
            <w:tcW w:w="465" w:type="pct"/>
            <w:tcBorders>
              <w:top w:val="nil"/>
              <w:left w:val="single" w:sz="4" w:space="0" w:color="auto"/>
              <w:bottom w:val="single" w:sz="4" w:space="0" w:color="auto"/>
              <w:right w:val="single" w:sz="8" w:space="0" w:color="auto"/>
            </w:tcBorders>
            <w:shd w:val="clear" w:color="auto" w:fill="auto"/>
            <w:noWrap/>
            <w:vAlign w:val="center"/>
            <w:hideMark/>
          </w:tcPr>
          <w:p w14:paraId="5AB43783" w14:textId="77777777" w:rsidR="00382C8B" w:rsidRPr="00CF504A" w:rsidRDefault="00382C8B" w:rsidP="00382C8B">
            <w:pPr>
              <w:jc w:val="center"/>
              <w:rPr>
                <w:color w:val="000000"/>
                <w:sz w:val="18"/>
                <w:szCs w:val="18"/>
              </w:rPr>
            </w:pPr>
            <w:r w:rsidRPr="00CF504A">
              <w:rPr>
                <w:color w:val="000000"/>
                <w:sz w:val="18"/>
                <w:szCs w:val="18"/>
              </w:rPr>
              <w:t>/</w:t>
            </w:r>
            <w:proofErr w:type="spellStart"/>
            <w:proofErr w:type="gramStart"/>
            <w:r w:rsidRPr="00CF504A">
              <w:rPr>
                <w:color w:val="000000"/>
                <w:sz w:val="18"/>
                <w:szCs w:val="18"/>
              </w:rPr>
              <w:t>yr</w:t>
            </w:r>
            <w:proofErr w:type="spellEnd"/>
            <w:proofErr w:type="gramEnd"/>
          </w:p>
        </w:tc>
      </w:tr>
      <w:tr w:rsidR="00382C8B" w:rsidRPr="00CF504A" w14:paraId="61C70648" w14:textId="77777777" w:rsidTr="00382C8B">
        <w:trPr>
          <w:trHeight w:val="290"/>
        </w:trPr>
        <w:tc>
          <w:tcPr>
            <w:tcW w:w="1133" w:type="pct"/>
            <w:tcBorders>
              <w:top w:val="nil"/>
              <w:left w:val="single" w:sz="8" w:space="0" w:color="auto"/>
              <w:bottom w:val="single" w:sz="4" w:space="0" w:color="auto"/>
              <w:right w:val="single" w:sz="4" w:space="0" w:color="auto"/>
            </w:tcBorders>
            <w:shd w:val="clear" w:color="auto" w:fill="auto"/>
            <w:noWrap/>
            <w:vAlign w:val="center"/>
            <w:hideMark/>
          </w:tcPr>
          <w:p w14:paraId="1532238B" w14:textId="77777777" w:rsidR="00382C8B" w:rsidRPr="00CF504A" w:rsidRDefault="00382C8B" w:rsidP="00382C8B">
            <w:pPr>
              <w:rPr>
                <w:color w:val="000000"/>
                <w:sz w:val="18"/>
                <w:szCs w:val="18"/>
              </w:rPr>
            </w:pPr>
            <w:r w:rsidRPr="00CF504A">
              <w:rPr>
                <w:color w:val="000000"/>
                <w:sz w:val="18"/>
                <w:szCs w:val="18"/>
              </w:rPr>
              <w:t>PAC Cost</w:t>
            </w:r>
          </w:p>
        </w:tc>
        <w:tc>
          <w:tcPr>
            <w:tcW w:w="697" w:type="pct"/>
            <w:tcBorders>
              <w:top w:val="nil"/>
              <w:left w:val="nil"/>
              <w:bottom w:val="single" w:sz="4" w:space="0" w:color="auto"/>
              <w:right w:val="single" w:sz="4" w:space="0" w:color="auto"/>
            </w:tcBorders>
            <w:shd w:val="clear" w:color="auto" w:fill="auto"/>
            <w:noWrap/>
            <w:vAlign w:val="center"/>
            <w:hideMark/>
          </w:tcPr>
          <w:p w14:paraId="3F8A524E" w14:textId="50490674" w:rsidR="00382C8B" w:rsidRPr="00CF504A" w:rsidRDefault="00382C8B" w:rsidP="00382C8B">
            <w:pPr>
              <w:jc w:val="center"/>
              <w:rPr>
                <w:color w:val="000000"/>
                <w:sz w:val="18"/>
                <w:szCs w:val="18"/>
              </w:rPr>
            </w:pPr>
          </w:p>
        </w:tc>
        <w:tc>
          <w:tcPr>
            <w:tcW w:w="697" w:type="pct"/>
            <w:tcBorders>
              <w:top w:val="nil"/>
              <w:left w:val="nil"/>
              <w:bottom w:val="single" w:sz="4" w:space="0" w:color="auto"/>
              <w:right w:val="single" w:sz="4" w:space="0" w:color="auto"/>
            </w:tcBorders>
            <w:shd w:val="clear" w:color="auto" w:fill="auto"/>
            <w:noWrap/>
            <w:vAlign w:val="center"/>
            <w:hideMark/>
          </w:tcPr>
          <w:p w14:paraId="388446C3" w14:textId="1C897F1D" w:rsidR="00382C8B" w:rsidRPr="00CF504A" w:rsidRDefault="00382C8B" w:rsidP="00382C8B">
            <w:pPr>
              <w:jc w:val="center"/>
              <w:rPr>
                <w:color w:val="000000"/>
                <w:sz w:val="18"/>
                <w:szCs w:val="18"/>
              </w:rPr>
            </w:pPr>
          </w:p>
        </w:tc>
        <w:tc>
          <w:tcPr>
            <w:tcW w:w="697" w:type="pct"/>
            <w:tcBorders>
              <w:top w:val="nil"/>
              <w:left w:val="nil"/>
              <w:bottom w:val="single" w:sz="4" w:space="0" w:color="auto"/>
              <w:right w:val="single" w:sz="4" w:space="0" w:color="auto"/>
            </w:tcBorders>
            <w:shd w:val="clear" w:color="auto" w:fill="auto"/>
            <w:noWrap/>
            <w:vAlign w:val="center"/>
            <w:hideMark/>
          </w:tcPr>
          <w:p w14:paraId="459B8B2B" w14:textId="61DE2F62" w:rsidR="00382C8B" w:rsidRPr="00CF504A" w:rsidRDefault="00382C8B" w:rsidP="00382C8B">
            <w:pPr>
              <w:jc w:val="center"/>
              <w:rPr>
                <w:color w:val="000000"/>
                <w:sz w:val="18"/>
                <w:szCs w:val="18"/>
              </w:rPr>
            </w:pPr>
          </w:p>
        </w:tc>
        <w:tc>
          <w:tcPr>
            <w:tcW w:w="639" w:type="pct"/>
            <w:tcBorders>
              <w:top w:val="nil"/>
              <w:left w:val="nil"/>
              <w:bottom w:val="single" w:sz="4" w:space="0" w:color="auto"/>
              <w:right w:val="single" w:sz="4" w:space="0" w:color="auto"/>
            </w:tcBorders>
            <w:shd w:val="clear" w:color="auto" w:fill="auto"/>
            <w:noWrap/>
            <w:vAlign w:val="center"/>
            <w:hideMark/>
          </w:tcPr>
          <w:p w14:paraId="7B36D2C6" w14:textId="7F99BEAE" w:rsidR="00382C8B" w:rsidRPr="00CF504A" w:rsidRDefault="00382C8B" w:rsidP="00382C8B">
            <w:pPr>
              <w:jc w:val="center"/>
              <w:rPr>
                <w:color w:val="000000"/>
                <w:sz w:val="18"/>
                <w:szCs w:val="18"/>
              </w:rPr>
            </w:pPr>
            <w:r w:rsidRPr="00CF504A">
              <w:rPr>
                <w:color w:val="000000"/>
                <w:sz w:val="18"/>
                <w:szCs w:val="18"/>
              </w:rPr>
              <w:t>$   1,910,600</w:t>
            </w:r>
          </w:p>
        </w:tc>
        <w:tc>
          <w:tcPr>
            <w:tcW w:w="670" w:type="pct"/>
            <w:tcBorders>
              <w:top w:val="nil"/>
              <w:left w:val="nil"/>
              <w:bottom w:val="single" w:sz="4" w:space="0" w:color="auto"/>
              <w:right w:val="nil"/>
            </w:tcBorders>
            <w:shd w:val="clear" w:color="auto" w:fill="auto"/>
            <w:noWrap/>
            <w:vAlign w:val="center"/>
            <w:hideMark/>
          </w:tcPr>
          <w:p w14:paraId="0140F430" w14:textId="36A71A11" w:rsidR="00382C8B" w:rsidRPr="00CF504A" w:rsidRDefault="00382C8B" w:rsidP="00382C8B">
            <w:pPr>
              <w:jc w:val="center"/>
              <w:rPr>
                <w:color w:val="000000"/>
                <w:sz w:val="18"/>
                <w:szCs w:val="18"/>
              </w:rPr>
            </w:pPr>
            <w:r w:rsidRPr="00CF504A">
              <w:rPr>
                <w:color w:val="000000"/>
                <w:sz w:val="18"/>
                <w:szCs w:val="18"/>
              </w:rPr>
              <w:t>$   1,910,600</w:t>
            </w:r>
          </w:p>
        </w:tc>
        <w:tc>
          <w:tcPr>
            <w:tcW w:w="465" w:type="pct"/>
            <w:tcBorders>
              <w:top w:val="nil"/>
              <w:left w:val="single" w:sz="4" w:space="0" w:color="auto"/>
              <w:bottom w:val="single" w:sz="4" w:space="0" w:color="auto"/>
              <w:right w:val="single" w:sz="8" w:space="0" w:color="auto"/>
            </w:tcBorders>
            <w:shd w:val="clear" w:color="auto" w:fill="auto"/>
            <w:noWrap/>
            <w:vAlign w:val="center"/>
            <w:hideMark/>
          </w:tcPr>
          <w:p w14:paraId="33E48B76" w14:textId="77777777" w:rsidR="00382C8B" w:rsidRPr="00CF504A" w:rsidRDefault="00382C8B" w:rsidP="00382C8B">
            <w:pPr>
              <w:jc w:val="center"/>
              <w:rPr>
                <w:color w:val="000000"/>
                <w:sz w:val="18"/>
                <w:szCs w:val="18"/>
              </w:rPr>
            </w:pPr>
            <w:r w:rsidRPr="00CF504A">
              <w:rPr>
                <w:color w:val="000000"/>
                <w:sz w:val="18"/>
                <w:szCs w:val="18"/>
              </w:rPr>
              <w:t>/</w:t>
            </w:r>
            <w:proofErr w:type="spellStart"/>
            <w:proofErr w:type="gramStart"/>
            <w:r w:rsidRPr="00CF504A">
              <w:rPr>
                <w:color w:val="000000"/>
                <w:sz w:val="18"/>
                <w:szCs w:val="18"/>
              </w:rPr>
              <w:t>yr</w:t>
            </w:r>
            <w:proofErr w:type="spellEnd"/>
            <w:proofErr w:type="gramEnd"/>
          </w:p>
        </w:tc>
      </w:tr>
      <w:tr w:rsidR="00382C8B" w:rsidRPr="00CF504A" w14:paraId="242FD6F3" w14:textId="77777777" w:rsidTr="00382C8B">
        <w:trPr>
          <w:trHeight w:val="290"/>
        </w:trPr>
        <w:tc>
          <w:tcPr>
            <w:tcW w:w="1133" w:type="pct"/>
            <w:tcBorders>
              <w:top w:val="nil"/>
              <w:left w:val="single" w:sz="8" w:space="0" w:color="auto"/>
              <w:bottom w:val="single" w:sz="4" w:space="0" w:color="auto"/>
              <w:right w:val="single" w:sz="4" w:space="0" w:color="auto"/>
            </w:tcBorders>
            <w:shd w:val="clear" w:color="auto" w:fill="auto"/>
            <w:noWrap/>
            <w:vAlign w:val="center"/>
            <w:hideMark/>
          </w:tcPr>
          <w:p w14:paraId="2B48EA63" w14:textId="77777777" w:rsidR="00382C8B" w:rsidRPr="00CF504A" w:rsidRDefault="00382C8B" w:rsidP="00382C8B">
            <w:pPr>
              <w:rPr>
                <w:color w:val="000000"/>
                <w:sz w:val="18"/>
                <w:szCs w:val="18"/>
              </w:rPr>
            </w:pPr>
            <w:r w:rsidRPr="00CF504A">
              <w:rPr>
                <w:color w:val="000000"/>
                <w:sz w:val="18"/>
                <w:szCs w:val="18"/>
              </w:rPr>
              <w:t>Variable O&amp;M Cost</w:t>
            </w:r>
          </w:p>
        </w:tc>
        <w:tc>
          <w:tcPr>
            <w:tcW w:w="697" w:type="pct"/>
            <w:tcBorders>
              <w:top w:val="nil"/>
              <w:left w:val="nil"/>
              <w:bottom w:val="single" w:sz="4" w:space="0" w:color="auto"/>
              <w:right w:val="single" w:sz="4" w:space="0" w:color="auto"/>
            </w:tcBorders>
            <w:shd w:val="clear" w:color="auto" w:fill="auto"/>
            <w:noWrap/>
            <w:vAlign w:val="center"/>
            <w:hideMark/>
          </w:tcPr>
          <w:p w14:paraId="27549B41" w14:textId="66F53A33" w:rsidR="00382C8B" w:rsidRPr="00CF504A" w:rsidRDefault="00382C8B" w:rsidP="00382C8B">
            <w:pPr>
              <w:jc w:val="center"/>
              <w:rPr>
                <w:color w:val="000000"/>
                <w:sz w:val="18"/>
                <w:szCs w:val="18"/>
              </w:rPr>
            </w:pPr>
            <w:r w:rsidRPr="00CF504A">
              <w:rPr>
                <w:color w:val="000000"/>
                <w:sz w:val="18"/>
                <w:szCs w:val="18"/>
              </w:rPr>
              <w:t>$     1,056,810</w:t>
            </w:r>
          </w:p>
        </w:tc>
        <w:tc>
          <w:tcPr>
            <w:tcW w:w="697" w:type="pct"/>
            <w:tcBorders>
              <w:top w:val="nil"/>
              <w:left w:val="nil"/>
              <w:bottom w:val="single" w:sz="4" w:space="0" w:color="auto"/>
              <w:right w:val="single" w:sz="4" w:space="0" w:color="auto"/>
            </w:tcBorders>
            <w:shd w:val="clear" w:color="auto" w:fill="auto"/>
            <w:noWrap/>
            <w:vAlign w:val="center"/>
            <w:hideMark/>
          </w:tcPr>
          <w:p w14:paraId="73D4C46F" w14:textId="27ED31AC" w:rsidR="00382C8B" w:rsidRPr="00CF504A" w:rsidRDefault="00382C8B" w:rsidP="00382C8B">
            <w:pPr>
              <w:jc w:val="center"/>
              <w:rPr>
                <w:color w:val="000000"/>
                <w:sz w:val="18"/>
                <w:szCs w:val="18"/>
              </w:rPr>
            </w:pPr>
            <w:r w:rsidRPr="00CF504A">
              <w:rPr>
                <w:color w:val="000000"/>
                <w:sz w:val="18"/>
                <w:szCs w:val="18"/>
              </w:rPr>
              <w:t>$     1,192,260</w:t>
            </w:r>
          </w:p>
        </w:tc>
        <w:tc>
          <w:tcPr>
            <w:tcW w:w="697" w:type="pct"/>
            <w:tcBorders>
              <w:top w:val="nil"/>
              <w:left w:val="nil"/>
              <w:bottom w:val="single" w:sz="4" w:space="0" w:color="auto"/>
              <w:right w:val="single" w:sz="4" w:space="0" w:color="auto"/>
            </w:tcBorders>
            <w:shd w:val="clear" w:color="auto" w:fill="auto"/>
            <w:noWrap/>
            <w:vAlign w:val="center"/>
            <w:hideMark/>
          </w:tcPr>
          <w:p w14:paraId="4480BC87" w14:textId="3541E941" w:rsidR="00382C8B" w:rsidRPr="00CF504A" w:rsidRDefault="00382C8B" w:rsidP="00382C8B">
            <w:pPr>
              <w:jc w:val="center"/>
              <w:rPr>
                <w:color w:val="000000"/>
                <w:sz w:val="18"/>
                <w:szCs w:val="18"/>
              </w:rPr>
            </w:pPr>
            <w:r w:rsidRPr="00CF504A">
              <w:rPr>
                <w:color w:val="000000"/>
                <w:sz w:val="18"/>
                <w:szCs w:val="18"/>
              </w:rPr>
              <w:t>$        135,451</w:t>
            </w:r>
          </w:p>
        </w:tc>
        <w:tc>
          <w:tcPr>
            <w:tcW w:w="639" w:type="pct"/>
            <w:tcBorders>
              <w:top w:val="nil"/>
              <w:left w:val="nil"/>
              <w:bottom w:val="single" w:sz="4" w:space="0" w:color="auto"/>
              <w:right w:val="single" w:sz="4" w:space="0" w:color="auto"/>
            </w:tcBorders>
            <w:shd w:val="clear" w:color="auto" w:fill="auto"/>
            <w:noWrap/>
            <w:vAlign w:val="center"/>
            <w:hideMark/>
          </w:tcPr>
          <w:p w14:paraId="19CD5798" w14:textId="1AEFBD6E" w:rsidR="00382C8B" w:rsidRPr="00CF504A" w:rsidRDefault="00382C8B" w:rsidP="00382C8B">
            <w:pPr>
              <w:jc w:val="center"/>
              <w:rPr>
                <w:color w:val="000000"/>
                <w:sz w:val="18"/>
                <w:szCs w:val="18"/>
              </w:rPr>
            </w:pPr>
            <w:r w:rsidRPr="00CF504A">
              <w:rPr>
                <w:color w:val="000000"/>
                <w:sz w:val="18"/>
                <w:szCs w:val="18"/>
              </w:rPr>
              <w:t>$   3,336,615</w:t>
            </w:r>
          </w:p>
        </w:tc>
        <w:tc>
          <w:tcPr>
            <w:tcW w:w="670" w:type="pct"/>
            <w:tcBorders>
              <w:top w:val="nil"/>
              <w:left w:val="nil"/>
              <w:bottom w:val="single" w:sz="4" w:space="0" w:color="auto"/>
              <w:right w:val="nil"/>
            </w:tcBorders>
            <w:shd w:val="clear" w:color="auto" w:fill="auto"/>
            <w:noWrap/>
            <w:vAlign w:val="center"/>
            <w:hideMark/>
          </w:tcPr>
          <w:p w14:paraId="75A61FCF" w14:textId="74D74B6E" w:rsidR="00382C8B" w:rsidRPr="00CF504A" w:rsidRDefault="00382C8B" w:rsidP="00382C8B">
            <w:pPr>
              <w:jc w:val="center"/>
              <w:rPr>
                <w:color w:val="000000"/>
                <w:sz w:val="18"/>
                <w:szCs w:val="18"/>
              </w:rPr>
            </w:pPr>
            <w:r w:rsidRPr="00CF504A">
              <w:rPr>
                <w:color w:val="000000"/>
                <w:sz w:val="18"/>
                <w:szCs w:val="18"/>
              </w:rPr>
              <w:t>$   2,279,806</w:t>
            </w:r>
          </w:p>
        </w:tc>
        <w:tc>
          <w:tcPr>
            <w:tcW w:w="465" w:type="pct"/>
            <w:tcBorders>
              <w:top w:val="nil"/>
              <w:left w:val="single" w:sz="4" w:space="0" w:color="auto"/>
              <w:bottom w:val="single" w:sz="4" w:space="0" w:color="auto"/>
              <w:right w:val="single" w:sz="8" w:space="0" w:color="auto"/>
            </w:tcBorders>
            <w:shd w:val="clear" w:color="auto" w:fill="auto"/>
            <w:noWrap/>
            <w:vAlign w:val="center"/>
            <w:hideMark/>
          </w:tcPr>
          <w:p w14:paraId="011F2DE2" w14:textId="77777777" w:rsidR="00382C8B" w:rsidRPr="00CF504A" w:rsidRDefault="00382C8B" w:rsidP="00382C8B">
            <w:pPr>
              <w:jc w:val="center"/>
              <w:rPr>
                <w:color w:val="000000"/>
                <w:sz w:val="18"/>
                <w:szCs w:val="18"/>
              </w:rPr>
            </w:pPr>
            <w:r w:rsidRPr="00CF504A">
              <w:rPr>
                <w:color w:val="000000"/>
                <w:sz w:val="18"/>
                <w:szCs w:val="18"/>
              </w:rPr>
              <w:t>/</w:t>
            </w:r>
            <w:proofErr w:type="spellStart"/>
            <w:proofErr w:type="gramStart"/>
            <w:r w:rsidRPr="00CF504A">
              <w:rPr>
                <w:color w:val="000000"/>
                <w:sz w:val="18"/>
                <w:szCs w:val="18"/>
              </w:rPr>
              <w:t>yr</w:t>
            </w:r>
            <w:proofErr w:type="spellEnd"/>
            <w:proofErr w:type="gramEnd"/>
          </w:p>
        </w:tc>
      </w:tr>
      <w:tr w:rsidR="00382C8B" w:rsidRPr="00CF504A" w14:paraId="19A23582" w14:textId="77777777" w:rsidTr="00382C8B">
        <w:trPr>
          <w:trHeight w:val="290"/>
        </w:trPr>
        <w:tc>
          <w:tcPr>
            <w:tcW w:w="1133" w:type="pct"/>
            <w:tcBorders>
              <w:top w:val="nil"/>
              <w:left w:val="single" w:sz="8" w:space="0" w:color="auto"/>
              <w:bottom w:val="single" w:sz="4" w:space="0" w:color="auto"/>
              <w:right w:val="single" w:sz="4" w:space="0" w:color="auto"/>
            </w:tcBorders>
            <w:shd w:val="clear" w:color="auto" w:fill="auto"/>
            <w:noWrap/>
            <w:vAlign w:val="center"/>
            <w:hideMark/>
          </w:tcPr>
          <w:p w14:paraId="5A55E352" w14:textId="77777777" w:rsidR="00382C8B" w:rsidRPr="00CF504A" w:rsidRDefault="00382C8B" w:rsidP="00382C8B">
            <w:pPr>
              <w:rPr>
                <w:color w:val="000000"/>
                <w:sz w:val="18"/>
                <w:szCs w:val="18"/>
              </w:rPr>
            </w:pPr>
            <w:r w:rsidRPr="00CF504A">
              <w:rPr>
                <w:color w:val="000000"/>
                <w:sz w:val="18"/>
                <w:szCs w:val="18"/>
              </w:rPr>
              <w:t>Total Annual Cost</w:t>
            </w:r>
          </w:p>
        </w:tc>
        <w:tc>
          <w:tcPr>
            <w:tcW w:w="697" w:type="pct"/>
            <w:tcBorders>
              <w:top w:val="nil"/>
              <w:left w:val="nil"/>
              <w:bottom w:val="single" w:sz="4" w:space="0" w:color="auto"/>
              <w:right w:val="single" w:sz="4" w:space="0" w:color="auto"/>
            </w:tcBorders>
            <w:shd w:val="clear" w:color="auto" w:fill="auto"/>
            <w:noWrap/>
            <w:vAlign w:val="center"/>
            <w:hideMark/>
          </w:tcPr>
          <w:p w14:paraId="2BFEAB3A" w14:textId="77A022C3" w:rsidR="00382C8B" w:rsidRPr="00CF504A" w:rsidRDefault="00382C8B" w:rsidP="00382C8B">
            <w:pPr>
              <w:jc w:val="center"/>
              <w:rPr>
                <w:color w:val="000000"/>
                <w:sz w:val="18"/>
                <w:szCs w:val="18"/>
              </w:rPr>
            </w:pPr>
            <w:r w:rsidRPr="00CF504A">
              <w:rPr>
                <w:color w:val="000000"/>
                <w:sz w:val="18"/>
                <w:szCs w:val="18"/>
              </w:rPr>
              <w:t>$     5,232,047</w:t>
            </w:r>
          </w:p>
        </w:tc>
        <w:tc>
          <w:tcPr>
            <w:tcW w:w="697" w:type="pct"/>
            <w:tcBorders>
              <w:top w:val="nil"/>
              <w:left w:val="nil"/>
              <w:bottom w:val="single" w:sz="4" w:space="0" w:color="auto"/>
              <w:right w:val="single" w:sz="4" w:space="0" w:color="auto"/>
            </w:tcBorders>
            <w:shd w:val="clear" w:color="auto" w:fill="auto"/>
            <w:noWrap/>
            <w:vAlign w:val="center"/>
            <w:hideMark/>
          </w:tcPr>
          <w:p w14:paraId="63FB978D" w14:textId="422010B4" w:rsidR="00382C8B" w:rsidRPr="00CF504A" w:rsidRDefault="00382C8B" w:rsidP="00382C8B">
            <w:pPr>
              <w:jc w:val="center"/>
              <w:rPr>
                <w:color w:val="000000"/>
                <w:sz w:val="18"/>
                <w:szCs w:val="18"/>
              </w:rPr>
            </w:pPr>
            <w:r w:rsidRPr="00CF504A">
              <w:rPr>
                <w:color w:val="000000"/>
                <w:sz w:val="18"/>
                <w:szCs w:val="18"/>
              </w:rPr>
              <w:t>$     5,660,743</w:t>
            </w:r>
          </w:p>
        </w:tc>
        <w:tc>
          <w:tcPr>
            <w:tcW w:w="697" w:type="pct"/>
            <w:tcBorders>
              <w:top w:val="nil"/>
              <w:left w:val="nil"/>
              <w:bottom w:val="single" w:sz="4" w:space="0" w:color="auto"/>
              <w:right w:val="single" w:sz="4" w:space="0" w:color="auto"/>
            </w:tcBorders>
            <w:shd w:val="clear" w:color="auto" w:fill="auto"/>
            <w:noWrap/>
            <w:vAlign w:val="center"/>
            <w:hideMark/>
          </w:tcPr>
          <w:p w14:paraId="45F1E100" w14:textId="6763510C" w:rsidR="00382C8B" w:rsidRPr="00CF504A" w:rsidRDefault="00382C8B" w:rsidP="00382C8B">
            <w:pPr>
              <w:jc w:val="center"/>
              <w:rPr>
                <w:color w:val="000000"/>
                <w:sz w:val="18"/>
                <w:szCs w:val="18"/>
              </w:rPr>
            </w:pPr>
            <w:r w:rsidRPr="00CF504A">
              <w:rPr>
                <w:color w:val="000000"/>
                <w:sz w:val="18"/>
                <w:szCs w:val="18"/>
              </w:rPr>
              <w:t>$     4,603,933</w:t>
            </w:r>
          </w:p>
        </w:tc>
        <w:tc>
          <w:tcPr>
            <w:tcW w:w="639" w:type="pct"/>
            <w:tcBorders>
              <w:top w:val="nil"/>
              <w:left w:val="nil"/>
              <w:bottom w:val="single" w:sz="4" w:space="0" w:color="auto"/>
              <w:right w:val="single" w:sz="4" w:space="0" w:color="auto"/>
            </w:tcBorders>
            <w:shd w:val="clear" w:color="auto" w:fill="auto"/>
            <w:noWrap/>
            <w:vAlign w:val="center"/>
            <w:hideMark/>
          </w:tcPr>
          <w:p w14:paraId="6B51A29A" w14:textId="0B2B7932" w:rsidR="00382C8B" w:rsidRPr="00CF504A" w:rsidRDefault="00382C8B" w:rsidP="00382C8B">
            <w:pPr>
              <w:jc w:val="center"/>
              <w:rPr>
                <w:color w:val="000000"/>
                <w:sz w:val="18"/>
                <w:szCs w:val="18"/>
              </w:rPr>
            </w:pPr>
            <w:r w:rsidRPr="00CF504A">
              <w:rPr>
                <w:color w:val="000000"/>
                <w:sz w:val="18"/>
                <w:szCs w:val="18"/>
              </w:rPr>
              <w:t>$ 12,782,394</w:t>
            </w:r>
          </w:p>
        </w:tc>
        <w:tc>
          <w:tcPr>
            <w:tcW w:w="670" w:type="pct"/>
            <w:tcBorders>
              <w:top w:val="nil"/>
              <w:left w:val="nil"/>
              <w:bottom w:val="single" w:sz="4" w:space="0" w:color="auto"/>
              <w:right w:val="nil"/>
            </w:tcBorders>
            <w:shd w:val="clear" w:color="auto" w:fill="auto"/>
            <w:noWrap/>
            <w:vAlign w:val="center"/>
            <w:hideMark/>
          </w:tcPr>
          <w:p w14:paraId="35D7D379" w14:textId="134129E3" w:rsidR="00382C8B" w:rsidRPr="00CF504A" w:rsidRDefault="00382C8B" w:rsidP="00382C8B">
            <w:pPr>
              <w:jc w:val="center"/>
              <w:rPr>
                <w:color w:val="000000"/>
                <w:sz w:val="18"/>
                <w:szCs w:val="18"/>
              </w:rPr>
            </w:pPr>
            <w:r w:rsidRPr="00CF504A">
              <w:rPr>
                <w:color w:val="000000"/>
                <w:sz w:val="18"/>
                <w:szCs w:val="18"/>
              </w:rPr>
              <w:t>$ 11,690,023</w:t>
            </w:r>
          </w:p>
        </w:tc>
        <w:tc>
          <w:tcPr>
            <w:tcW w:w="465" w:type="pct"/>
            <w:tcBorders>
              <w:top w:val="nil"/>
              <w:left w:val="single" w:sz="4" w:space="0" w:color="auto"/>
              <w:bottom w:val="single" w:sz="4" w:space="0" w:color="auto"/>
              <w:right w:val="single" w:sz="8" w:space="0" w:color="auto"/>
            </w:tcBorders>
            <w:shd w:val="clear" w:color="auto" w:fill="auto"/>
            <w:noWrap/>
            <w:vAlign w:val="center"/>
            <w:hideMark/>
          </w:tcPr>
          <w:p w14:paraId="33D8A798" w14:textId="77777777" w:rsidR="00382C8B" w:rsidRPr="00CF504A" w:rsidRDefault="00382C8B" w:rsidP="00382C8B">
            <w:pPr>
              <w:jc w:val="center"/>
              <w:rPr>
                <w:color w:val="000000"/>
                <w:sz w:val="18"/>
                <w:szCs w:val="18"/>
              </w:rPr>
            </w:pPr>
            <w:r w:rsidRPr="00CF504A">
              <w:rPr>
                <w:color w:val="000000"/>
                <w:sz w:val="18"/>
                <w:szCs w:val="18"/>
              </w:rPr>
              <w:t>/</w:t>
            </w:r>
            <w:proofErr w:type="spellStart"/>
            <w:proofErr w:type="gramStart"/>
            <w:r w:rsidRPr="00CF504A">
              <w:rPr>
                <w:color w:val="000000"/>
                <w:sz w:val="18"/>
                <w:szCs w:val="18"/>
              </w:rPr>
              <w:t>yr</w:t>
            </w:r>
            <w:proofErr w:type="spellEnd"/>
            <w:proofErr w:type="gramEnd"/>
          </w:p>
        </w:tc>
      </w:tr>
      <w:tr w:rsidR="00382C8B" w:rsidRPr="00CF504A" w14:paraId="1BFF4CE6" w14:textId="77777777" w:rsidTr="00382C8B">
        <w:trPr>
          <w:trHeight w:val="290"/>
        </w:trPr>
        <w:tc>
          <w:tcPr>
            <w:tcW w:w="1133" w:type="pct"/>
            <w:tcBorders>
              <w:top w:val="nil"/>
              <w:left w:val="single" w:sz="8" w:space="0" w:color="auto"/>
              <w:bottom w:val="single" w:sz="4" w:space="0" w:color="auto"/>
              <w:right w:val="single" w:sz="4" w:space="0" w:color="auto"/>
            </w:tcBorders>
            <w:shd w:val="clear" w:color="auto" w:fill="auto"/>
            <w:noWrap/>
            <w:vAlign w:val="center"/>
            <w:hideMark/>
          </w:tcPr>
          <w:p w14:paraId="7EEB740B" w14:textId="487C8237" w:rsidR="00382C8B" w:rsidRPr="00CF504A" w:rsidRDefault="00382C8B" w:rsidP="00382C8B">
            <w:pPr>
              <w:rPr>
                <w:color w:val="000000"/>
                <w:sz w:val="18"/>
                <w:szCs w:val="18"/>
              </w:rPr>
            </w:pPr>
            <w:r w:rsidRPr="00CF504A">
              <w:rPr>
                <w:color w:val="000000"/>
                <w:sz w:val="18"/>
                <w:szCs w:val="18"/>
              </w:rPr>
              <w:t xml:space="preserve">Uncontrolled </w:t>
            </w:r>
            <w:r w:rsidR="00D6102A" w:rsidRPr="00CF504A">
              <w:rPr>
                <w:sz w:val="18"/>
                <w:szCs w:val="18"/>
              </w:rPr>
              <w:t>SO</w:t>
            </w:r>
            <w:r w:rsidR="00D6102A" w:rsidRPr="00CF504A">
              <w:rPr>
                <w:sz w:val="18"/>
                <w:szCs w:val="18"/>
                <w:vertAlign w:val="subscript"/>
              </w:rPr>
              <w:t>2</w:t>
            </w:r>
          </w:p>
        </w:tc>
        <w:tc>
          <w:tcPr>
            <w:tcW w:w="697" w:type="pct"/>
            <w:tcBorders>
              <w:top w:val="nil"/>
              <w:left w:val="nil"/>
              <w:bottom w:val="single" w:sz="4" w:space="0" w:color="auto"/>
              <w:right w:val="single" w:sz="4" w:space="0" w:color="auto"/>
            </w:tcBorders>
            <w:shd w:val="clear" w:color="auto" w:fill="auto"/>
            <w:noWrap/>
            <w:vAlign w:val="center"/>
            <w:hideMark/>
          </w:tcPr>
          <w:p w14:paraId="29CFD690" w14:textId="39884952" w:rsidR="00382C8B" w:rsidRPr="00CF504A" w:rsidRDefault="00382C8B" w:rsidP="00382C8B">
            <w:pPr>
              <w:jc w:val="center"/>
              <w:rPr>
                <w:color w:val="000000"/>
                <w:sz w:val="18"/>
                <w:szCs w:val="18"/>
              </w:rPr>
            </w:pPr>
            <w:r w:rsidRPr="00CF504A">
              <w:rPr>
                <w:color w:val="000000"/>
                <w:sz w:val="18"/>
                <w:szCs w:val="18"/>
              </w:rPr>
              <w:t>1,812</w:t>
            </w:r>
          </w:p>
        </w:tc>
        <w:tc>
          <w:tcPr>
            <w:tcW w:w="697" w:type="pct"/>
            <w:tcBorders>
              <w:top w:val="nil"/>
              <w:left w:val="nil"/>
              <w:bottom w:val="single" w:sz="4" w:space="0" w:color="auto"/>
              <w:right w:val="single" w:sz="4" w:space="0" w:color="auto"/>
            </w:tcBorders>
            <w:shd w:val="clear" w:color="auto" w:fill="auto"/>
            <w:noWrap/>
            <w:vAlign w:val="center"/>
            <w:hideMark/>
          </w:tcPr>
          <w:p w14:paraId="256722DD" w14:textId="6DA16E34" w:rsidR="00382C8B" w:rsidRPr="00CF504A" w:rsidRDefault="00382C8B" w:rsidP="00382C8B">
            <w:pPr>
              <w:jc w:val="center"/>
              <w:rPr>
                <w:color w:val="000000"/>
                <w:sz w:val="18"/>
                <w:szCs w:val="18"/>
              </w:rPr>
            </w:pPr>
            <w:r w:rsidRPr="00CF504A">
              <w:rPr>
                <w:color w:val="000000"/>
                <w:sz w:val="18"/>
                <w:szCs w:val="18"/>
              </w:rPr>
              <w:t>1,812</w:t>
            </w:r>
          </w:p>
        </w:tc>
        <w:tc>
          <w:tcPr>
            <w:tcW w:w="697" w:type="pct"/>
            <w:tcBorders>
              <w:top w:val="nil"/>
              <w:left w:val="nil"/>
              <w:bottom w:val="single" w:sz="4" w:space="0" w:color="auto"/>
              <w:right w:val="single" w:sz="4" w:space="0" w:color="auto"/>
            </w:tcBorders>
            <w:shd w:val="clear" w:color="auto" w:fill="auto"/>
            <w:noWrap/>
            <w:vAlign w:val="center"/>
            <w:hideMark/>
          </w:tcPr>
          <w:p w14:paraId="00B135E1" w14:textId="650DB33B" w:rsidR="00382C8B" w:rsidRPr="00CF504A" w:rsidRDefault="00382C8B" w:rsidP="00382C8B">
            <w:pPr>
              <w:jc w:val="center"/>
              <w:rPr>
                <w:color w:val="000000"/>
                <w:sz w:val="18"/>
                <w:szCs w:val="18"/>
              </w:rPr>
            </w:pPr>
          </w:p>
        </w:tc>
        <w:tc>
          <w:tcPr>
            <w:tcW w:w="639" w:type="pct"/>
            <w:tcBorders>
              <w:top w:val="nil"/>
              <w:left w:val="nil"/>
              <w:bottom w:val="single" w:sz="4" w:space="0" w:color="auto"/>
              <w:right w:val="single" w:sz="4" w:space="0" w:color="auto"/>
            </w:tcBorders>
            <w:shd w:val="clear" w:color="auto" w:fill="auto"/>
            <w:noWrap/>
            <w:vAlign w:val="center"/>
            <w:hideMark/>
          </w:tcPr>
          <w:p w14:paraId="296CB80E" w14:textId="2D3B1AB0" w:rsidR="00382C8B" w:rsidRPr="00CF504A" w:rsidRDefault="00382C8B" w:rsidP="00382C8B">
            <w:pPr>
              <w:jc w:val="center"/>
              <w:rPr>
                <w:color w:val="000000"/>
                <w:sz w:val="18"/>
                <w:szCs w:val="18"/>
              </w:rPr>
            </w:pPr>
            <w:r w:rsidRPr="00CF504A">
              <w:rPr>
                <w:color w:val="000000"/>
                <w:sz w:val="18"/>
                <w:szCs w:val="18"/>
              </w:rPr>
              <w:t>1,812</w:t>
            </w:r>
          </w:p>
        </w:tc>
        <w:tc>
          <w:tcPr>
            <w:tcW w:w="670" w:type="pct"/>
            <w:tcBorders>
              <w:top w:val="nil"/>
              <w:left w:val="nil"/>
              <w:bottom w:val="single" w:sz="4" w:space="0" w:color="auto"/>
              <w:right w:val="nil"/>
            </w:tcBorders>
            <w:shd w:val="clear" w:color="auto" w:fill="auto"/>
            <w:noWrap/>
            <w:vAlign w:val="center"/>
            <w:hideMark/>
          </w:tcPr>
          <w:p w14:paraId="4ADDB738" w14:textId="4F7B9F56" w:rsidR="00382C8B" w:rsidRPr="00CF504A" w:rsidRDefault="00382C8B" w:rsidP="00382C8B">
            <w:pPr>
              <w:jc w:val="center"/>
              <w:rPr>
                <w:color w:val="000000"/>
                <w:sz w:val="18"/>
                <w:szCs w:val="18"/>
              </w:rPr>
            </w:pPr>
          </w:p>
        </w:tc>
        <w:tc>
          <w:tcPr>
            <w:tcW w:w="465" w:type="pct"/>
            <w:tcBorders>
              <w:top w:val="nil"/>
              <w:left w:val="single" w:sz="4" w:space="0" w:color="auto"/>
              <w:bottom w:val="single" w:sz="4" w:space="0" w:color="auto"/>
              <w:right w:val="single" w:sz="8" w:space="0" w:color="auto"/>
            </w:tcBorders>
            <w:shd w:val="clear" w:color="auto" w:fill="auto"/>
            <w:noWrap/>
            <w:vAlign w:val="center"/>
            <w:hideMark/>
          </w:tcPr>
          <w:p w14:paraId="36CAC549" w14:textId="77777777" w:rsidR="00382C8B" w:rsidRPr="00CF504A" w:rsidRDefault="00382C8B" w:rsidP="00382C8B">
            <w:pPr>
              <w:jc w:val="center"/>
              <w:rPr>
                <w:color w:val="000000"/>
                <w:sz w:val="18"/>
                <w:szCs w:val="18"/>
              </w:rPr>
            </w:pPr>
            <w:r w:rsidRPr="00CF504A">
              <w:rPr>
                <w:color w:val="000000"/>
                <w:sz w:val="18"/>
                <w:szCs w:val="18"/>
              </w:rPr>
              <w:t>ton/</w:t>
            </w:r>
            <w:proofErr w:type="spellStart"/>
            <w:r w:rsidRPr="00CF504A">
              <w:rPr>
                <w:color w:val="000000"/>
                <w:sz w:val="18"/>
                <w:szCs w:val="18"/>
              </w:rPr>
              <w:t>yr</w:t>
            </w:r>
            <w:proofErr w:type="spellEnd"/>
          </w:p>
        </w:tc>
      </w:tr>
      <w:tr w:rsidR="00382C8B" w:rsidRPr="00CF504A" w14:paraId="461C96BC" w14:textId="77777777" w:rsidTr="00382C8B">
        <w:trPr>
          <w:trHeight w:val="290"/>
        </w:trPr>
        <w:tc>
          <w:tcPr>
            <w:tcW w:w="1133" w:type="pct"/>
            <w:tcBorders>
              <w:top w:val="nil"/>
              <w:left w:val="single" w:sz="8" w:space="0" w:color="auto"/>
              <w:bottom w:val="single" w:sz="4" w:space="0" w:color="auto"/>
              <w:right w:val="single" w:sz="4" w:space="0" w:color="auto"/>
            </w:tcBorders>
            <w:shd w:val="clear" w:color="auto" w:fill="auto"/>
            <w:noWrap/>
            <w:vAlign w:val="center"/>
            <w:hideMark/>
          </w:tcPr>
          <w:p w14:paraId="2C35E30E" w14:textId="69C776C2" w:rsidR="00382C8B" w:rsidRPr="00CF504A" w:rsidRDefault="00D6102A" w:rsidP="00382C8B">
            <w:pPr>
              <w:rPr>
                <w:color w:val="000000"/>
                <w:sz w:val="18"/>
                <w:szCs w:val="18"/>
              </w:rPr>
            </w:pPr>
            <w:r w:rsidRPr="00CF504A">
              <w:rPr>
                <w:sz w:val="18"/>
                <w:szCs w:val="18"/>
              </w:rPr>
              <w:t>SO</w:t>
            </w:r>
            <w:r w:rsidRPr="00CF504A">
              <w:rPr>
                <w:sz w:val="18"/>
                <w:szCs w:val="18"/>
                <w:vertAlign w:val="subscript"/>
              </w:rPr>
              <w:t>2</w:t>
            </w:r>
            <w:r w:rsidR="00382C8B" w:rsidRPr="00CF504A">
              <w:rPr>
                <w:color w:val="000000"/>
                <w:sz w:val="18"/>
                <w:szCs w:val="18"/>
              </w:rPr>
              <w:t xml:space="preserve"> Removed</w:t>
            </w:r>
          </w:p>
        </w:tc>
        <w:tc>
          <w:tcPr>
            <w:tcW w:w="697" w:type="pct"/>
            <w:tcBorders>
              <w:top w:val="nil"/>
              <w:left w:val="nil"/>
              <w:bottom w:val="single" w:sz="4" w:space="0" w:color="auto"/>
              <w:right w:val="single" w:sz="4" w:space="0" w:color="auto"/>
            </w:tcBorders>
            <w:shd w:val="clear" w:color="auto" w:fill="auto"/>
            <w:noWrap/>
            <w:vAlign w:val="center"/>
            <w:hideMark/>
          </w:tcPr>
          <w:p w14:paraId="2A545F36" w14:textId="1690AD46" w:rsidR="00382C8B" w:rsidRPr="00CF504A" w:rsidRDefault="00382C8B" w:rsidP="00382C8B">
            <w:pPr>
              <w:jc w:val="center"/>
              <w:rPr>
                <w:color w:val="000000"/>
                <w:sz w:val="18"/>
                <w:szCs w:val="18"/>
              </w:rPr>
            </w:pPr>
            <w:r w:rsidRPr="00CF504A">
              <w:rPr>
                <w:color w:val="000000"/>
                <w:sz w:val="18"/>
                <w:szCs w:val="18"/>
              </w:rPr>
              <w:t>399</w:t>
            </w:r>
          </w:p>
        </w:tc>
        <w:tc>
          <w:tcPr>
            <w:tcW w:w="697" w:type="pct"/>
            <w:tcBorders>
              <w:top w:val="nil"/>
              <w:left w:val="nil"/>
              <w:bottom w:val="single" w:sz="4" w:space="0" w:color="auto"/>
              <w:right w:val="single" w:sz="4" w:space="0" w:color="auto"/>
            </w:tcBorders>
            <w:shd w:val="clear" w:color="auto" w:fill="auto"/>
            <w:noWrap/>
            <w:vAlign w:val="center"/>
            <w:hideMark/>
          </w:tcPr>
          <w:p w14:paraId="01D56D44" w14:textId="7E7CF5E8" w:rsidR="00382C8B" w:rsidRPr="00CF504A" w:rsidRDefault="00382C8B" w:rsidP="00382C8B">
            <w:pPr>
              <w:jc w:val="center"/>
              <w:rPr>
                <w:color w:val="000000"/>
                <w:sz w:val="18"/>
                <w:szCs w:val="18"/>
              </w:rPr>
            </w:pPr>
            <w:r w:rsidRPr="00CF504A">
              <w:rPr>
                <w:color w:val="000000"/>
                <w:sz w:val="18"/>
                <w:szCs w:val="18"/>
              </w:rPr>
              <w:t>906</w:t>
            </w:r>
          </w:p>
        </w:tc>
        <w:tc>
          <w:tcPr>
            <w:tcW w:w="697" w:type="pct"/>
            <w:tcBorders>
              <w:top w:val="nil"/>
              <w:left w:val="nil"/>
              <w:bottom w:val="single" w:sz="4" w:space="0" w:color="auto"/>
              <w:right w:val="single" w:sz="4" w:space="0" w:color="auto"/>
            </w:tcBorders>
            <w:shd w:val="clear" w:color="auto" w:fill="auto"/>
            <w:noWrap/>
            <w:vAlign w:val="center"/>
            <w:hideMark/>
          </w:tcPr>
          <w:p w14:paraId="73CD8A97" w14:textId="6D66E509" w:rsidR="00382C8B" w:rsidRPr="00CF504A" w:rsidRDefault="00382C8B" w:rsidP="00382C8B">
            <w:pPr>
              <w:jc w:val="center"/>
              <w:rPr>
                <w:color w:val="000000"/>
                <w:sz w:val="18"/>
                <w:szCs w:val="18"/>
              </w:rPr>
            </w:pPr>
            <w:r w:rsidRPr="00CF504A">
              <w:rPr>
                <w:color w:val="000000"/>
                <w:sz w:val="18"/>
                <w:szCs w:val="18"/>
              </w:rPr>
              <w:t>507</w:t>
            </w:r>
          </w:p>
        </w:tc>
        <w:tc>
          <w:tcPr>
            <w:tcW w:w="639" w:type="pct"/>
            <w:tcBorders>
              <w:top w:val="nil"/>
              <w:left w:val="nil"/>
              <w:bottom w:val="single" w:sz="4" w:space="0" w:color="auto"/>
              <w:right w:val="single" w:sz="4" w:space="0" w:color="auto"/>
            </w:tcBorders>
            <w:shd w:val="clear" w:color="auto" w:fill="auto"/>
            <w:noWrap/>
            <w:vAlign w:val="center"/>
            <w:hideMark/>
          </w:tcPr>
          <w:p w14:paraId="2F4AA83D" w14:textId="48B3B249" w:rsidR="00382C8B" w:rsidRPr="00CF504A" w:rsidRDefault="00382C8B" w:rsidP="00382C8B">
            <w:pPr>
              <w:jc w:val="center"/>
              <w:rPr>
                <w:color w:val="000000"/>
                <w:sz w:val="18"/>
                <w:szCs w:val="18"/>
              </w:rPr>
            </w:pPr>
            <w:r w:rsidRPr="00CF504A">
              <w:rPr>
                <w:color w:val="000000"/>
                <w:sz w:val="18"/>
                <w:szCs w:val="18"/>
              </w:rPr>
              <w:t>1,631</w:t>
            </w:r>
          </w:p>
        </w:tc>
        <w:tc>
          <w:tcPr>
            <w:tcW w:w="670" w:type="pct"/>
            <w:tcBorders>
              <w:top w:val="nil"/>
              <w:left w:val="nil"/>
              <w:bottom w:val="single" w:sz="4" w:space="0" w:color="auto"/>
              <w:right w:val="nil"/>
            </w:tcBorders>
            <w:shd w:val="clear" w:color="auto" w:fill="auto"/>
            <w:noWrap/>
            <w:vAlign w:val="center"/>
            <w:hideMark/>
          </w:tcPr>
          <w:p w14:paraId="5E24ED6C" w14:textId="0AD3C139" w:rsidR="00382C8B" w:rsidRPr="00CF504A" w:rsidRDefault="00382C8B" w:rsidP="00382C8B">
            <w:pPr>
              <w:jc w:val="center"/>
              <w:rPr>
                <w:color w:val="000000"/>
                <w:sz w:val="18"/>
                <w:szCs w:val="18"/>
              </w:rPr>
            </w:pPr>
            <w:r w:rsidRPr="00CF504A">
              <w:rPr>
                <w:color w:val="000000"/>
                <w:sz w:val="18"/>
                <w:szCs w:val="18"/>
              </w:rPr>
              <w:t>1,232</w:t>
            </w:r>
          </w:p>
        </w:tc>
        <w:tc>
          <w:tcPr>
            <w:tcW w:w="465" w:type="pct"/>
            <w:tcBorders>
              <w:top w:val="nil"/>
              <w:left w:val="single" w:sz="4" w:space="0" w:color="auto"/>
              <w:bottom w:val="single" w:sz="4" w:space="0" w:color="auto"/>
              <w:right w:val="single" w:sz="8" w:space="0" w:color="auto"/>
            </w:tcBorders>
            <w:shd w:val="clear" w:color="auto" w:fill="auto"/>
            <w:noWrap/>
            <w:vAlign w:val="center"/>
            <w:hideMark/>
          </w:tcPr>
          <w:p w14:paraId="49B52A17" w14:textId="77777777" w:rsidR="00382C8B" w:rsidRPr="00CF504A" w:rsidRDefault="00382C8B" w:rsidP="00382C8B">
            <w:pPr>
              <w:jc w:val="center"/>
              <w:rPr>
                <w:color w:val="000000"/>
                <w:sz w:val="18"/>
                <w:szCs w:val="18"/>
              </w:rPr>
            </w:pPr>
            <w:r w:rsidRPr="00CF504A">
              <w:rPr>
                <w:color w:val="000000"/>
                <w:sz w:val="18"/>
                <w:szCs w:val="18"/>
              </w:rPr>
              <w:t>ton/</w:t>
            </w:r>
            <w:proofErr w:type="spellStart"/>
            <w:r w:rsidRPr="00CF504A">
              <w:rPr>
                <w:color w:val="000000"/>
                <w:sz w:val="18"/>
                <w:szCs w:val="18"/>
              </w:rPr>
              <w:t>yr</w:t>
            </w:r>
            <w:proofErr w:type="spellEnd"/>
          </w:p>
        </w:tc>
      </w:tr>
      <w:tr w:rsidR="00382C8B" w:rsidRPr="00CF504A" w14:paraId="74BAB6D2" w14:textId="77777777" w:rsidTr="00382C8B">
        <w:trPr>
          <w:trHeight w:val="300"/>
        </w:trPr>
        <w:tc>
          <w:tcPr>
            <w:tcW w:w="1133" w:type="pct"/>
            <w:tcBorders>
              <w:top w:val="nil"/>
              <w:left w:val="single" w:sz="8" w:space="0" w:color="auto"/>
              <w:bottom w:val="single" w:sz="8" w:space="0" w:color="auto"/>
              <w:right w:val="single" w:sz="4" w:space="0" w:color="auto"/>
            </w:tcBorders>
            <w:shd w:val="clear" w:color="auto" w:fill="auto"/>
            <w:noWrap/>
            <w:vAlign w:val="center"/>
            <w:hideMark/>
          </w:tcPr>
          <w:p w14:paraId="51CF9718" w14:textId="77777777" w:rsidR="00382C8B" w:rsidRPr="00CF504A" w:rsidRDefault="00382C8B" w:rsidP="00382C8B">
            <w:pPr>
              <w:rPr>
                <w:color w:val="000000"/>
                <w:sz w:val="18"/>
                <w:szCs w:val="18"/>
              </w:rPr>
            </w:pPr>
            <w:r w:rsidRPr="00CF504A">
              <w:rPr>
                <w:color w:val="000000"/>
                <w:sz w:val="18"/>
                <w:szCs w:val="18"/>
              </w:rPr>
              <w:t>Cost-Effectiveness</w:t>
            </w:r>
          </w:p>
        </w:tc>
        <w:tc>
          <w:tcPr>
            <w:tcW w:w="697" w:type="pct"/>
            <w:tcBorders>
              <w:top w:val="nil"/>
              <w:left w:val="nil"/>
              <w:bottom w:val="single" w:sz="8" w:space="0" w:color="auto"/>
              <w:right w:val="single" w:sz="4" w:space="0" w:color="auto"/>
            </w:tcBorders>
            <w:shd w:val="clear" w:color="auto" w:fill="auto"/>
            <w:noWrap/>
            <w:vAlign w:val="center"/>
            <w:hideMark/>
          </w:tcPr>
          <w:p w14:paraId="23E443AB" w14:textId="6EBEC03C" w:rsidR="00382C8B" w:rsidRPr="00CF504A" w:rsidRDefault="00382C8B" w:rsidP="00382C8B">
            <w:pPr>
              <w:jc w:val="center"/>
              <w:rPr>
                <w:color w:val="000000"/>
                <w:sz w:val="18"/>
                <w:szCs w:val="18"/>
              </w:rPr>
            </w:pPr>
            <w:r w:rsidRPr="00CF504A">
              <w:rPr>
                <w:color w:val="000000"/>
                <w:sz w:val="18"/>
                <w:szCs w:val="18"/>
              </w:rPr>
              <w:t>$           13,125</w:t>
            </w:r>
          </w:p>
        </w:tc>
        <w:tc>
          <w:tcPr>
            <w:tcW w:w="697" w:type="pct"/>
            <w:tcBorders>
              <w:top w:val="nil"/>
              <w:left w:val="nil"/>
              <w:bottom w:val="single" w:sz="8" w:space="0" w:color="auto"/>
              <w:right w:val="single" w:sz="4" w:space="0" w:color="auto"/>
            </w:tcBorders>
            <w:shd w:val="clear" w:color="auto" w:fill="auto"/>
            <w:noWrap/>
            <w:vAlign w:val="center"/>
            <w:hideMark/>
          </w:tcPr>
          <w:p w14:paraId="0704C9B2" w14:textId="39FB7D83" w:rsidR="00382C8B" w:rsidRPr="00CF504A" w:rsidRDefault="00382C8B" w:rsidP="00382C8B">
            <w:pPr>
              <w:jc w:val="center"/>
              <w:rPr>
                <w:color w:val="000000"/>
                <w:sz w:val="18"/>
                <w:szCs w:val="18"/>
              </w:rPr>
            </w:pPr>
            <w:r w:rsidRPr="00CF504A">
              <w:rPr>
                <w:color w:val="000000"/>
                <w:sz w:val="18"/>
                <w:szCs w:val="18"/>
              </w:rPr>
              <w:t>$             6,248</w:t>
            </w:r>
          </w:p>
        </w:tc>
        <w:tc>
          <w:tcPr>
            <w:tcW w:w="697" w:type="pct"/>
            <w:tcBorders>
              <w:top w:val="nil"/>
              <w:left w:val="nil"/>
              <w:bottom w:val="single" w:sz="8" w:space="0" w:color="auto"/>
              <w:right w:val="single" w:sz="4" w:space="0" w:color="auto"/>
            </w:tcBorders>
            <w:shd w:val="clear" w:color="auto" w:fill="auto"/>
            <w:noWrap/>
            <w:vAlign w:val="center"/>
            <w:hideMark/>
          </w:tcPr>
          <w:p w14:paraId="5DBA6B95" w14:textId="3A40E049" w:rsidR="00382C8B" w:rsidRPr="00CF504A" w:rsidRDefault="00382C8B" w:rsidP="00382C8B">
            <w:pPr>
              <w:jc w:val="center"/>
              <w:rPr>
                <w:color w:val="000000"/>
                <w:sz w:val="18"/>
                <w:szCs w:val="18"/>
              </w:rPr>
            </w:pPr>
            <w:r w:rsidRPr="00CF504A">
              <w:rPr>
                <w:color w:val="000000"/>
                <w:sz w:val="18"/>
                <w:szCs w:val="18"/>
              </w:rPr>
              <w:t>$             9,074</w:t>
            </w:r>
          </w:p>
        </w:tc>
        <w:tc>
          <w:tcPr>
            <w:tcW w:w="639" w:type="pct"/>
            <w:tcBorders>
              <w:top w:val="nil"/>
              <w:left w:val="nil"/>
              <w:bottom w:val="single" w:sz="8" w:space="0" w:color="auto"/>
              <w:right w:val="single" w:sz="4" w:space="0" w:color="auto"/>
            </w:tcBorders>
            <w:shd w:val="clear" w:color="auto" w:fill="auto"/>
            <w:noWrap/>
            <w:vAlign w:val="center"/>
            <w:hideMark/>
          </w:tcPr>
          <w:p w14:paraId="53BE1CA1" w14:textId="39DD6F55" w:rsidR="00382C8B" w:rsidRPr="00CF504A" w:rsidRDefault="00382C8B" w:rsidP="00382C8B">
            <w:pPr>
              <w:jc w:val="center"/>
              <w:rPr>
                <w:color w:val="000000"/>
                <w:sz w:val="18"/>
                <w:szCs w:val="18"/>
              </w:rPr>
            </w:pPr>
            <w:r w:rsidRPr="00CF504A">
              <w:rPr>
                <w:color w:val="000000"/>
                <w:sz w:val="18"/>
                <w:szCs w:val="18"/>
              </w:rPr>
              <w:t>$           7,838</w:t>
            </w:r>
          </w:p>
        </w:tc>
        <w:tc>
          <w:tcPr>
            <w:tcW w:w="670" w:type="pct"/>
            <w:tcBorders>
              <w:top w:val="nil"/>
              <w:left w:val="nil"/>
              <w:bottom w:val="single" w:sz="8" w:space="0" w:color="auto"/>
              <w:right w:val="nil"/>
            </w:tcBorders>
            <w:shd w:val="clear" w:color="auto" w:fill="auto"/>
            <w:noWrap/>
            <w:vAlign w:val="center"/>
            <w:hideMark/>
          </w:tcPr>
          <w:p w14:paraId="3F5D1CBD" w14:textId="77598E1D" w:rsidR="00382C8B" w:rsidRPr="00CF504A" w:rsidRDefault="00382C8B" w:rsidP="00382C8B">
            <w:pPr>
              <w:jc w:val="center"/>
              <w:rPr>
                <w:color w:val="000000"/>
                <w:sz w:val="18"/>
                <w:szCs w:val="18"/>
              </w:rPr>
            </w:pPr>
            <w:r w:rsidRPr="00CF504A">
              <w:rPr>
                <w:color w:val="000000"/>
                <w:sz w:val="18"/>
                <w:szCs w:val="18"/>
              </w:rPr>
              <w:t>$           9,487</w:t>
            </w:r>
          </w:p>
        </w:tc>
        <w:tc>
          <w:tcPr>
            <w:tcW w:w="465" w:type="pct"/>
            <w:tcBorders>
              <w:top w:val="nil"/>
              <w:left w:val="single" w:sz="4" w:space="0" w:color="auto"/>
              <w:bottom w:val="single" w:sz="8" w:space="0" w:color="auto"/>
              <w:right w:val="single" w:sz="8" w:space="0" w:color="auto"/>
            </w:tcBorders>
            <w:shd w:val="clear" w:color="auto" w:fill="auto"/>
            <w:noWrap/>
            <w:vAlign w:val="center"/>
            <w:hideMark/>
          </w:tcPr>
          <w:p w14:paraId="722446BD" w14:textId="77777777" w:rsidR="00382C8B" w:rsidRPr="00CF504A" w:rsidRDefault="00382C8B" w:rsidP="00382C8B">
            <w:pPr>
              <w:jc w:val="center"/>
              <w:rPr>
                <w:color w:val="000000"/>
                <w:sz w:val="18"/>
                <w:szCs w:val="18"/>
              </w:rPr>
            </w:pPr>
            <w:r w:rsidRPr="00CF504A">
              <w:rPr>
                <w:color w:val="000000"/>
                <w:sz w:val="18"/>
                <w:szCs w:val="18"/>
              </w:rPr>
              <w:t>$/ton</w:t>
            </w:r>
          </w:p>
        </w:tc>
      </w:tr>
    </w:tbl>
    <w:p w14:paraId="62B7C697" w14:textId="138FB0C9" w:rsidR="00284937" w:rsidRDefault="00284937" w:rsidP="00284937"/>
    <w:p w14:paraId="115F2208" w14:textId="57EF6212" w:rsidR="002B0C78" w:rsidRDefault="002B0C78" w:rsidP="00D56B46">
      <w:pPr>
        <w:contextualSpacing/>
      </w:pPr>
      <w:bookmarkStart w:id="18" w:name="_Hlk108121438"/>
      <w:r w:rsidRPr="00457B98">
        <w:t xml:space="preserve">Even though the use of hydrated lime does not remove </w:t>
      </w:r>
      <w:r w:rsidR="00D6102A" w:rsidRPr="008303E0">
        <w:t>SO</w:t>
      </w:r>
      <w:r w:rsidR="00D6102A" w:rsidRPr="00D6102A">
        <w:rPr>
          <w:vertAlign w:val="subscript"/>
        </w:rPr>
        <w:t>2</w:t>
      </w:r>
      <w:r w:rsidRPr="00457B98">
        <w:t xml:space="preserve"> as </w:t>
      </w:r>
      <w:r w:rsidR="00ED2570">
        <w:t xml:space="preserve">effectively as </w:t>
      </w:r>
      <w:r w:rsidRPr="00457B98">
        <w:t xml:space="preserve">milled trona, its </w:t>
      </w:r>
      <w:r w:rsidR="00382C8B">
        <w:t xml:space="preserve">capital costs and </w:t>
      </w:r>
      <w:r w:rsidRPr="00457B98">
        <w:t>operating expenses are much lower</w:t>
      </w:r>
      <w:r w:rsidR="00382C8B">
        <w:t xml:space="preserve">, resulting in an incremental cost-effectiveness of about $9,100/ton to replace the existing hydrated lime system with a new one </w:t>
      </w:r>
      <w:r w:rsidR="00836087">
        <w:t>of</w:t>
      </w:r>
      <w:r w:rsidR="00382C8B">
        <w:t xml:space="preserve"> greater capacity</w:t>
      </w:r>
      <w:r w:rsidR="00863ED9">
        <w:t xml:space="preserve">.  </w:t>
      </w:r>
      <w:r w:rsidR="00382C8B">
        <w:t>W</w:t>
      </w:r>
      <w:r w:rsidR="00267F0A">
        <w:t xml:space="preserve">ith the additional cost of adding PAC, the </w:t>
      </w:r>
      <w:r w:rsidR="00382C8B">
        <w:t xml:space="preserve">incremental </w:t>
      </w:r>
      <w:r w:rsidR="00267F0A">
        <w:t xml:space="preserve">cost-effectiveness of replacing the existing hydrated lime DSI system with DSI using milled trona is still </w:t>
      </w:r>
      <w:r w:rsidR="00AF29F6">
        <w:t xml:space="preserve">approximately </w:t>
      </w:r>
      <w:r w:rsidR="00267F0A">
        <w:t>$</w:t>
      </w:r>
      <w:r w:rsidR="00382C8B">
        <w:t>9,500</w:t>
      </w:r>
      <w:r w:rsidR="00267F0A">
        <w:t>/ton</w:t>
      </w:r>
      <w:r w:rsidR="00863ED9">
        <w:t xml:space="preserve">.  </w:t>
      </w:r>
    </w:p>
    <w:bookmarkEnd w:id="18"/>
    <w:p w14:paraId="1D5BA158" w14:textId="77777777" w:rsidR="005E5028" w:rsidRPr="00457B98" w:rsidRDefault="005E5028" w:rsidP="00D56B46">
      <w:pPr>
        <w:contextualSpacing/>
      </w:pPr>
    </w:p>
    <w:p w14:paraId="1C937865" w14:textId="136E2057" w:rsidR="00B40611" w:rsidRPr="00394D49" w:rsidRDefault="00B40611" w:rsidP="00394D49">
      <w:pPr>
        <w:pStyle w:val="Heading3"/>
        <w:rPr>
          <w:rStyle w:val="Heading3Char"/>
        </w:rPr>
      </w:pPr>
      <w:r w:rsidRPr="00394D49">
        <w:lastRenderedPageBreak/>
        <w:t>Unit2</w:t>
      </w:r>
      <w:r w:rsidR="008E75D3" w:rsidRPr="00394D49">
        <w:t xml:space="preserve"> – </w:t>
      </w:r>
      <w:r w:rsidR="008E75D3" w:rsidRPr="00394D49">
        <w:rPr>
          <w:rStyle w:val="Heading3Char"/>
        </w:rPr>
        <w:t>Dry Lime FGD System Upgrades</w:t>
      </w:r>
    </w:p>
    <w:p w14:paraId="2B239E79" w14:textId="694403F7" w:rsidR="008303E0" w:rsidRDefault="00A80D59" w:rsidP="00D56B46">
      <w:pPr>
        <w:contextualSpacing/>
      </w:pPr>
      <w:r w:rsidRPr="00457B98">
        <w:t xml:space="preserve">Based </w:t>
      </w:r>
      <w:r w:rsidR="00AF29F6">
        <w:t>on</w:t>
      </w:r>
      <w:r w:rsidR="00AF29F6" w:rsidRPr="00457B98">
        <w:t xml:space="preserve"> </w:t>
      </w:r>
      <w:r w:rsidRPr="00457B98">
        <w:t>Energy Information Administration fuels data for North Valmy for 2020, the scrubber on Unit 2 is achieving 78% efficiency</w:t>
      </w:r>
      <w:r w:rsidR="00863ED9">
        <w:t xml:space="preserve">.  </w:t>
      </w:r>
      <w:r w:rsidR="006800AA" w:rsidRPr="00457B98">
        <w:t xml:space="preserve">Modern </w:t>
      </w:r>
      <w:r w:rsidR="00287DF8" w:rsidRPr="00457B98">
        <w:t xml:space="preserve">FGD systems regularly achieve </w:t>
      </w:r>
      <w:r w:rsidR="00AF29F6">
        <w:t>greater</w:t>
      </w:r>
      <w:r w:rsidR="00AF29F6" w:rsidRPr="00457B98">
        <w:t xml:space="preserve"> </w:t>
      </w:r>
      <w:r w:rsidR="00287DF8" w:rsidRPr="00457B98">
        <w:t>than 95% control</w:t>
      </w:r>
      <w:r w:rsidR="00863ED9">
        <w:t xml:space="preserve">.  </w:t>
      </w:r>
      <w:r w:rsidR="00AF29F6">
        <w:t>S</w:t>
      </w:r>
      <w:r w:rsidR="00287DF8" w:rsidRPr="00457B98">
        <w:t xml:space="preserve">crubber upgrades to improve efficiency are </w:t>
      </w:r>
      <w:r w:rsidR="00AF29F6">
        <w:t xml:space="preserve">often </w:t>
      </w:r>
      <w:r w:rsidR="00287DF8" w:rsidRPr="00457B98">
        <w:t>very cost</w:t>
      </w:r>
      <w:r w:rsidR="00AF29F6">
        <w:t xml:space="preserve"> </w:t>
      </w:r>
      <w:r w:rsidR="00287DF8" w:rsidRPr="00457B98">
        <w:t>effective</w:t>
      </w:r>
      <w:r w:rsidR="00863ED9">
        <w:t xml:space="preserve">.  </w:t>
      </w:r>
      <w:r w:rsidR="00933DEA">
        <w:t>The NPS</w:t>
      </w:r>
      <w:r w:rsidR="00CC1F0E">
        <w:t xml:space="preserve"> appreciates </w:t>
      </w:r>
      <w:r w:rsidR="008303E0">
        <w:t xml:space="preserve">that </w:t>
      </w:r>
      <w:r w:rsidR="00AF29F6">
        <w:t xml:space="preserve">the </w:t>
      </w:r>
      <w:r w:rsidR="008303E0">
        <w:t xml:space="preserve">NDEP requested and NVE provided </w:t>
      </w:r>
      <w:r w:rsidR="003F19E3">
        <w:t xml:space="preserve">a full four-factor analysis </w:t>
      </w:r>
      <w:r w:rsidR="00AF29F6">
        <w:t xml:space="preserve">which includes </w:t>
      </w:r>
      <w:r w:rsidR="003F19E3">
        <w:t>this response</w:t>
      </w:r>
      <w:r w:rsidR="008303E0">
        <w:t>:</w:t>
      </w:r>
    </w:p>
    <w:p w14:paraId="0A083828" w14:textId="77777777" w:rsidR="008303E0" w:rsidRDefault="008303E0" w:rsidP="00D56B46">
      <w:pPr>
        <w:contextualSpacing/>
      </w:pPr>
    </w:p>
    <w:p w14:paraId="39DEC062" w14:textId="379C3E4A" w:rsidR="008303E0" w:rsidRDefault="008303E0" w:rsidP="00CF504A">
      <w:pPr>
        <w:pStyle w:val="Quote"/>
      </w:pPr>
      <w:r w:rsidRPr="008303E0">
        <w:t xml:space="preserve">NPS states in Section 4.1.4 of the comments summary document that modern FGD systems “regularly” achieve better than 95% control of </w:t>
      </w:r>
      <w:r w:rsidR="00D6102A" w:rsidRPr="008303E0">
        <w:t>SO</w:t>
      </w:r>
      <w:r w:rsidR="00D6102A" w:rsidRPr="00D6102A">
        <w:rPr>
          <w:vertAlign w:val="subscript"/>
        </w:rPr>
        <w:t>2</w:t>
      </w:r>
      <w:r w:rsidR="00863ED9">
        <w:t xml:space="preserve">.  </w:t>
      </w:r>
      <w:r w:rsidRPr="008303E0">
        <w:t xml:space="preserve">NVE agrees that this statement may be true for certain types of new FGD </w:t>
      </w:r>
      <w:proofErr w:type="gramStart"/>
      <w:r w:rsidRPr="008303E0">
        <w:t>systems, but</w:t>
      </w:r>
      <w:proofErr w:type="gramEnd"/>
      <w:r w:rsidRPr="008303E0">
        <w:t xml:space="preserve"> disagrees with the assertion that upgrading the existing FGD system on North Valmy Unit 2 would be cost effective</w:t>
      </w:r>
      <w:r w:rsidR="00863ED9">
        <w:t xml:space="preserve">.  </w:t>
      </w:r>
      <w:r w:rsidRPr="008303E0">
        <w:t>As we explained in our letter dated January 15, 2021, the performance of the existing</w:t>
      </w:r>
      <w:r w:rsidRPr="008303E0">
        <w:rPr>
          <w:spacing w:val="-1"/>
        </w:rPr>
        <w:t xml:space="preserve"> </w:t>
      </w:r>
      <w:r w:rsidRPr="008303E0">
        <w:t>FGD system on Unit 2 has already been</w:t>
      </w:r>
      <w:r w:rsidRPr="008303E0">
        <w:rPr>
          <w:spacing w:val="-1"/>
        </w:rPr>
        <w:t xml:space="preserve"> </w:t>
      </w:r>
      <w:r w:rsidRPr="008303E0">
        <w:t>fully</w:t>
      </w:r>
      <w:r w:rsidRPr="008303E0">
        <w:rPr>
          <w:spacing w:val="-1"/>
        </w:rPr>
        <w:t xml:space="preserve"> </w:t>
      </w:r>
      <w:r w:rsidRPr="008303E0">
        <w:t>optimized;</w:t>
      </w:r>
      <w:r w:rsidRPr="008303E0">
        <w:rPr>
          <w:spacing w:val="-1"/>
        </w:rPr>
        <w:t xml:space="preserve"> </w:t>
      </w:r>
      <w:r w:rsidRPr="008303E0">
        <w:t>the</w:t>
      </w:r>
      <w:r w:rsidRPr="008303E0">
        <w:rPr>
          <w:spacing w:val="-1"/>
        </w:rPr>
        <w:t xml:space="preserve"> </w:t>
      </w:r>
      <w:r w:rsidRPr="008303E0">
        <w:t>system</w:t>
      </w:r>
      <w:r w:rsidRPr="008303E0">
        <w:rPr>
          <w:spacing w:val="-1"/>
        </w:rPr>
        <w:t xml:space="preserve"> </w:t>
      </w:r>
      <w:r w:rsidRPr="008303E0">
        <w:t>was</w:t>
      </w:r>
      <w:r w:rsidRPr="008303E0">
        <w:rPr>
          <w:spacing w:val="-1"/>
        </w:rPr>
        <w:t xml:space="preserve"> </w:t>
      </w:r>
      <w:r w:rsidRPr="008303E0">
        <w:t>designed</w:t>
      </w:r>
      <w:r w:rsidRPr="008303E0">
        <w:rPr>
          <w:spacing w:val="-3"/>
        </w:rPr>
        <w:t xml:space="preserve"> </w:t>
      </w:r>
      <w:r w:rsidRPr="008303E0">
        <w:t>to</w:t>
      </w:r>
      <w:r w:rsidRPr="008303E0">
        <w:rPr>
          <w:spacing w:val="-1"/>
        </w:rPr>
        <w:t xml:space="preserve"> </w:t>
      </w:r>
      <w:r w:rsidRPr="008303E0">
        <w:t>achieve</w:t>
      </w:r>
      <w:r w:rsidRPr="008303E0">
        <w:rPr>
          <w:spacing w:val="-1"/>
        </w:rPr>
        <w:t xml:space="preserve"> </w:t>
      </w:r>
      <w:r w:rsidRPr="008303E0">
        <w:t>70%</w:t>
      </w:r>
      <w:r w:rsidRPr="008303E0">
        <w:rPr>
          <w:spacing w:val="-1"/>
        </w:rPr>
        <w:t xml:space="preserve"> </w:t>
      </w:r>
      <w:r w:rsidR="00D6102A" w:rsidRPr="008303E0">
        <w:t>SO</w:t>
      </w:r>
      <w:r w:rsidR="00D6102A" w:rsidRPr="00D6102A">
        <w:rPr>
          <w:vertAlign w:val="subscript"/>
        </w:rPr>
        <w:t>2</w:t>
      </w:r>
      <w:r w:rsidRPr="008303E0">
        <w:rPr>
          <w:spacing w:val="-2"/>
        </w:rPr>
        <w:t xml:space="preserve"> </w:t>
      </w:r>
      <w:r w:rsidRPr="008303E0">
        <w:t>removal</w:t>
      </w:r>
      <w:r w:rsidRPr="008303E0">
        <w:rPr>
          <w:spacing w:val="-1"/>
        </w:rPr>
        <w:t xml:space="preserve"> </w:t>
      </w:r>
      <w:r w:rsidRPr="008303E0">
        <w:t>but</w:t>
      </w:r>
      <w:r w:rsidRPr="008303E0">
        <w:rPr>
          <w:spacing w:val="-1"/>
        </w:rPr>
        <w:t xml:space="preserve"> </w:t>
      </w:r>
      <w:r w:rsidRPr="008303E0">
        <w:t>now</w:t>
      </w:r>
      <w:r w:rsidRPr="008303E0">
        <w:rPr>
          <w:spacing w:val="-2"/>
        </w:rPr>
        <w:t xml:space="preserve"> </w:t>
      </w:r>
      <w:r w:rsidRPr="008303E0">
        <w:t>achieves</w:t>
      </w:r>
      <w:r w:rsidRPr="008303E0">
        <w:rPr>
          <w:spacing w:val="-1"/>
        </w:rPr>
        <w:t xml:space="preserve"> </w:t>
      </w:r>
      <w:r w:rsidRPr="008303E0">
        <w:t>at least 78% removal</w:t>
      </w:r>
      <w:r w:rsidR="00863ED9">
        <w:t xml:space="preserve">.  </w:t>
      </w:r>
      <w:r w:rsidRPr="008303E0">
        <w:t>As explained below, further improvement of the performance of this system would</w:t>
      </w:r>
      <w:r w:rsidRPr="008303E0">
        <w:rPr>
          <w:spacing w:val="-3"/>
        </w:rPr>
        <w:t xml:space="preserve"> </w:t>
      </w:r>
      <w:r w:rsidRPr="008303E0">
        <w:t>require</w:t>
      </w:r>
      <w:r w:rsidRPr="008303E0">
        <w:rPr>
          <w:spacing w:val="-3"/>
        </w:rPr>
        <w:t xml:space="preserve"> </w:t>
      </w:r>
      <w:r w:rsidRPr="008303E0">
        <w:t>that</w:t>
      </w:r>
      <w:r w:rsidRPr="008303E0">
        <w:rPr>
          <w:spacing w:val="-3"/>
        </w:rPr>
        <w:t xml:space="preserve"> </w:t>
      </w:r>
      <w:r w:rsidRPr="008303E0">
        <w:t>the</w:t>
      </w:r>
      <w:r w:rsidRPr="008303E0">
        <w:rPr>
          <w:spacing w:val="-4"/>
        </w:rPr>
        <w:t xml:space="preserve"> </w:t>
      </w:r>
      <w:r w:rsidRPr="008303E0">
        <w:t>existing</w:t>
      </w:r>
      <w:r w:rsidRPr="008303E0">
        <w:rPr>
          <w:spacing w:val="-5"/>
        </w:rPr>
        <w:t xml:space="preserve"> </w:t>
      </w:r>
      <w:r w:rsidRPr="008303E0">
        <w:t>multi-nozzle</w:t>
      </w:r>
      <w:r w:rsidRPr="008303E0">
        <w:rPr>
          <w:spacing w:val="-3"/>
        </w:rPr>
        <w:t xml:space="preserve"> </w:t>
      </w:r>
      <w:r w:rsidRPr="008303E0">
        <w:t>spray</w:t>
      </w:r>
      <w:r w:rsidRPr="008303E0">
        <w:rPr>
          <w:spacing w:val="-3"/>
        </w:rPr>
        <w:t xml:space="preserve"> </w:t>
      </w:r>
      <w:r w:rsidRPr="008303E0">
        <w:t>dryer</w:t>
      </w:r>
      <w:r w:rsidRPr="008303E0">
        <w:rPr>
          <w:spacing w:val="-3"/>
        </w:rPr>
        <w:t xml:space="preserve"> </w:t>
      </w:r>
      <w:r w:rsidRPr="008303E0">
        <w:t>vessels</w:t>
      </w:r>
      <w:r w:rsidRPr="008303E0">
        <w:rPr>
          <w:spacing w:val="-3"/>
        </w:rPr>
        <w:t xml:space="preserve"> </w:t>
      </w:r>
      <w:r w:rsidRPr="008303E0">
        <w:t>would</w:t>
      </w:r>
      <w:r w:rsidRPr="008303E0">
        <w:rPr>
          <w:spacing w:val="-3"/>
        </w:rPr>
        <w:t xml:space="preserve"> </w:t>
      </w:r>
      <w:r w:rsidRPr="008303E0">
        <w:t>need</w:t>
      </w:r>
      <w:r w:rsidRPr="008303E0">
        <w:rPr>
          <w:spacing w:val="-3"/>
        </w:rPr>
        <w:t xml:space="preserve"> </w:t>
      </w:r>
      <w:r w:rsidRPr="008303E0">
        <w:t>to</w:t>
      </w:r>
      <w:r w:rsidRPr="008303E0">
        <w:rPr>
          <w:spacing w:val="-3"/>
        </w:rPr>
        <w:t xml:space="preserve"> </w:t>
      </w:r>
      <w:r w:rsidRPr="008303E0">
        <w:t>be</w:t>
      </w:r>
      <w:r w:rsidRPr="008303E0">
        <w:rPr>
          <w:spacing w:val="-3"/>
        </w:rPr>
        <w:t xml:space="preserve"> </w:t>
      </w:r>
      <w:r w:rsidRPr="008303E0">
        <w:t>reconfigured</w:t>
      </w:r>
      <w:r w:rsidRPr="008303E0">
        <w:rPr>
          <w:spacing w:val="-5"/>
        </w:rPr>
        <w:t xml:space="preserve"> </w:t>
      </w:r>
      <w:r w:rsidRPr="008303E0">
        <w:t>to single nozzle spray dryer vessels in order to achieve any additional improvement in the control</w:t>
      </w:r>
      <w:r w:rsidRPr="008303E0">
        <w:rPr>
          <w:spacing w:val="40"/>
        </w:rPr>
        <w:t xml:space="preserve"> </w:t>
      </w:r>
      <w:r w:rsidRPr="008303E0">
        <w:t xml:space="preserve">of </w:t>
      </w:r>
      <w:r w:rsidR="00D6102A" w:rsidRPr="008303E0">
        <w:t>SO</w:t>
      </w:r>
      <w:r w:rsidR="00D6102A" w:rsidRPr="00D6102A">
        <w:rPr>
          <w:vertAlign w:val="subscript"/>
        </w:rPr>
        <w:t>2</w:t>
      </w:r>
      <w:r w:rsidR="00863ED9">
        <w:t xml:space="preserve">.  </w:t>
      </w:r>
      <w:r w:rsidRPr="008303E0">
        <w:t>As shown below, this alternative would not be cost effective considering the commitment to retire this unit at the end of 2028.</w:t>
      </w:r>
    </w:p>
    <w:p w14:paraId="073BB465" w14:textId="77777777" w:rsidR="008916F0" w:rsidRDefault="008303E0" w:rsidP="008916F0">
      <w:pPr>
        <w:pStyle w:val="Heading4"/>
      </w:pPr>
      <w:r w:rsidRPr="008303E0">
        <w:t>Identification of control option</w:t>
      </w:r>
      <w:r w:rsidR="008916F0">
        <w:t>s</w:t>
      </w:r>
    </w:p>
    <w:p w14:paraId="772765CA" w14:textId="4CE35DEE" w:rsidR="008303E0" w:rsidRPr="008303E0" w:rsidRDefault="008303E0" w:rsidP="008303E0">
      <w:pPr>
        <w:pStyle w:val="Default"/>
        <w:contextualSpacing/>
      </w:pPr>
      <w:r w:rsidRPr="008303E0">
        <w:t>The existing lime spray dryer based FGD system on North Valmy Unit 2 consists of three spray dryer absorber vessels operating in parallel</w:t>
      </w:r>
      <w:r w:rsidR="00863ED9">
        <w:t xml:space="preserve">.  </w:t>
      </w:r>
      <w:r w:rsidRPr="008303E0">
        <w:t>Each vessel is equipped with three separate lime slurry atomizers that spray reagent near</w:t>
      </w:r>
      <w:r w:rsidRPr="008303E0">
        <w:rPr>
          <w:spacing w:val="-1"/>
        </w:rPr>
        <w:t xml:space="preserve"> </w:t>
      </w:r>
      <w:r w:rsidRPr="008303E0">
        <w:t>the top of the vessel in an overlapping pattern that contacts the flue gas from the unit in a counter-current fashion</w:t>
      </w:r>
      <w:r w:rsidR="00863ED9">
        <w:t xml:space="preserve">.  </w:t>
      </w:r>
      <w:r w:rsidRPr="008303E0">
        <w:t>As noted</w:t>
      </w:r>
      <w:r w:rsidRPr="008303E0">
        <w:rPr>
          <w:spacing w:val="-11"/>
        </w:rPr>
        <w:t xml:space="preserve"> </w:t>
      </w:r>
      <w:r w:rsidR="00F069B9">
        <w:t xml:space="preserve">in </w:t>
      </w:r>
      <w:r w:rsidR="00933DEA">
        <w:t>the NPS</w:t>
      </w:r>
      <w:r w:rsidRPr="008303E0">
        <w:rPr>
          <w:spacing w:val="-11"/>
        </w:rPr>
        <w:t xml:space="preserve"> </w:t>
      </w:r>
      <w:r w:rsidRPr="008303E0">
        <w:t>submittal</w:t>
      </w:r>
      <w:r w:rsidRPr="008303E0">
        <w:rPr>
          <w:spacing w:val="-10"/>
        </w:rPr>
        <w:t xml:space="preserve"> </w:t>
      </w:r>
      <w:r w:rsidRPr="008303E0">
        <w:t>dated</w:t>
      </w:r>
      <w:r w:rsidRPr="008303E0">
        <w:rPr>
          <w:spacing w:val="-11"/>
        </w:rPr>
        <w:t xml:space="preserve"> </w:t>
      </w:r>
      <w:r w:rsidRPr="008303E0">
        <w:t>January</w:t>
      </w:r>
      <w:r w:rsidRPr="008303E0">
        <w:rPr>
          <w:spacing w:val="-11"/>
        </w:rPr>
        <w:t xml:space="preserve"> </w:t>
      </w:r>
      <w:r w:rsidRPr="008303E0">
        <w:t>15,</w:t>
      </w:r>
      <w:r w:rsidRPr="008303E0">
        <w:rPr>
          <w:spacing w:val="-11"/>
        </w:rPr>
        <w:t xml:space="preserve"> </w:t>
      </w:r>
      <w:r w:rsidRPr="008303E0">
        <w:t>2021,</w:t>
      </w:r>
      <w:r w:rsidRPr="008303E0">
        <w:rPr>
          <w:spacing w:val="-11"/>
        </w:rPr>
        <w:t xml:space="preserve"> </w:t>
      </w:r>
      <w:r w:rsidRPr="008303E0">
        <w:t>this</w:t>
      </w:r>
      <w:r w:rsidRPr="008303E0">
        <w:rPr>
          <w:spacing w:val="-11"/>
        </w:rPr>
        <w:t xml:space="preserve"> </w:t>
      </w:r>
      <w:r w:rsidRPr="008303E0">
        <w:t>existing</w:t>
      </w:r>
      <w:r w:rsidRPr="008303E0">
        <w:rPr>
          <w:spacing w:val="-11"/>
        </w:rPr>
        <w:t xml:space="preserve"> </w:t>
      </w:r>
      <w:r w:rsidRPr="008303E0">
        <w:t>system</w:t>
      </w:r>
      <w:r w:rsidRPr="008303E0">
        <w:rPr>
          <w:spacing w:val="-10"/>
        </w:rPr>
        <w:t xml:space="preserve"> </w:t>
      </w:r>
      <w:r w:rsidRPr="008303E0">
        <w:t>has</w:t>
      </w:r>
      <w:r w:rsidRPr="008303E0">
        <w:rPr>
          <w:spacing w:val="-11"/>
        </w:rPr>
        <w:t xml:space="preserve"> </w:t>
      </w:r>
      <w:r w:rsidRPr="008303E0">
        <w:t>already been</w:t>
      </w:r>
      <w:r w:rsidRPr="008303E0">
        <w:rPr>
          <w:spacing w:val="-8"/>
        </w:rPr>
        <w:t xml:space="preserve"> </w:t>
      </w:r>
      <w:r w:rsidRPr="008303E0">
        <w:t>optimized</w:t>
      </w:r>
      <w:r w:rsidRPr="008303E0">
        <w:rPr>
          <w:spacing w:val="-8"/>
        </w:rPr>
        <w:t xml:space="preserve"> </w:t>
      </w:r>
      <w:r w:rsidRPr="008303E0">
        <w:t>to</w:t>
      </w:r>
      <w:r w:rsidRPr="008303E0">
        <w:rPr>
          <w:spacing w:val="-9"/>
        </w:rPr>
        <w:t xml:space="preserve"> </w:t>
      </w:r>
      <w:r w:rsidRPr="008303E0">
        <w:t>the</w:t>
      </w:r>
      <w:r w:rsidRPr="008303E0">
        <w:rPr>
          <w:spacing w:val="-9"/>
        </w:rPr>
        <w:t xml:space="preserve"> </w:t>
      </w:r>
      <w:r w:rsidRPr="008303E0">
        <w:t>extent</w:t>
      </w:r>
      <w:r w:rsidRPr="008303E0">
        <w:rPr>
          <w:spacing w:val="-8"/>
        </w:rPr>
        <w:t xml:space="preserve"> </w:t>
      </w:r>
      <w:r w:rsidRPr="008303E0">
        <w:t>possible</w:t>
      </w:r>
      <w:r w:rsidRPr="008303E0">
        <w:rPr>
          <w:spacing w:val="-9"/>
        </w:rPr>
        <w:t xml:space="preserve"> </w:t>
      </w:r>
      <w:r w:rsidRPr="008303E0">
        <w:t>by</w:t>
      </w:r>
      <w:r w:rsidRPr="008303E0">
        <w:rPr>
          <w:spacing w:val="-8"/>
        </w:rPr>
        <w:t xml:space="preserve"> </w:t>
      </w:r>
      <w:r w:rsidRPr="008303E0">
        <w:t>using</w:t>
      </w:r>
      <w:r w:rsidRPr="008303E0">
        <w:rPr>
          <w:spacing w:val="-9"/>
        </w:rPr>
        <w:t xml:space="preserve"> </w:t>
      </w:r>
      <w:r w:rsidRPr="008303E0">
        <w:t>the</w:t>
      </w:r>
      <w:r w:rsidRPr="008303E0">
        <w:rPr>
          <w:spacing w:val="-9"/>
        </w:rPr>
        <w:t xml:space="preserve"> </w:t>
      </w:r>
      <w:r w:rsidRPr="008303E0">
        <w:t>highest</w:t>
      </w:r>
      <w:r w:rsidRPr="008303E0">
        <w:rPr>
          <w:spacing w:val="-8"/>
        </w:rPr>
        <w:t xml:space="preserve"> </w:t>
      </w:r>
      <w:r w:rsidRPr="008303E0">
        <w:t>quality</w:t>
      </w:r>
      <w:r w:rsidRPr="008303E0">
        <w:rPr>
          <w:spacing w:val="-9"/>
        </w:rPr>
        <w:t xml:space="preserve"> </w:t>
      </w:r>
      <w:r w:rsidRPr="008303E0">
        <w:t>lime</w:t>
      </w:r>
      <w:r w:rsidRPr="008303E0">
        <w:rPr>
          <w:spacing w:val="-8"/>
        </w:rPr>
        <w:t xml:space="preserve"> </w:t>
      </w:r>
      <w:r w:rsidRPr="008303E0">
        <w:t>commercially</w:t>
      </w:r>
      <w:r w:rsidRPr="008303E0">
        <w:rPr>
          <w:spacing w:val="-8"/>
        </w:rPr>
        <w:t xml:space="preserve"> </w:t>
      </w:r>
      <w:r w:rsidRPr="008303E0">
        <w:t>available,</w:t>
      </w:r>
      <w:r w:rsidRPr="008303E0">
        <w:rPr>
          <w:spacing w:val="-8"/>
        </w:rPr>
        <w:t xml:space="preserve"> </w:t>
      </w:r>
      <w:r w:rsidRPr="008303E0">
        <w:t>by using recycled system ash as well as fresh lime to increase the available reagent surface area, by operating at the lowest feasible saturation approach temperature, and by optimizing the spray coverage available with the multi-nozzle configuration</w:t>
      </w:r>
      <w:r w:rsidR="00863ED9">
        <w:t xml:space="preserve">.  </w:t>
      </w:r>
      <w:r w:rsidRPr="008303E0">
        <w:t xml:space="preserve">The only technically feasible alternative to further improve the </w:t>
      </w:r>
      <w:r w:rsidR="00D6102A" w:rsidRPr="008303E0">
        <w:t>SO</w:t>
      </w:r>
      <w:r w:rsidR="00D6102A" w:rsidRPr="00D6102A">
        <w:rPr>
          <w:vertAlign w:val="subscript"/>
        </w:rPr>
        <w:t>2</w:t>
      </w:r>
      <w:r w:rsidRPr="008303E0">
        <w:t xml:space="preserve"> control efficiency of this system would entail replacement of the existing multi-nozzle atomizer system in each vessel with a single nozzle design that would provide nearly 100% spray coverage across the flue gas flow pattern.</w:t>
      </w:r>
    </w:p>
    <w:p w14:paraId="16020DD6" w14:textId="77777777" w:rsidR="008916F0" w:rsidRDefault="008303E0" w:rsidP="008916F0">
      <w:pPr>
        <w:pStyle w:val="Heading4"/>
      </w:pPr>
      <w:r w:rsidRPr="008303E0">
        <w:t>Cost of controls</w:t>
      </w:r>
    </w:p>
    <w:p w14:paraId="64AFA934" w14:textId="49973FE3" w:rsidR="008303E0" w:rsidRPr="008303E0" w:rsidRDefault="008303E0" w:rsidP="008303E0">
      <w:pPr>
        <w:pStyle w:val="Default"/>
        <w:contextualSpacing/>
      </w:pPr>
      <w:r w:rsidRPr="008303E0">
        <w:t>A detailed engineering study of the technical and economic feasibility of retrofitting the existing multi-nozzle atomizer-based FGD system on Unit 2 with a single nozzle- based system has not been conducted</w:t>
      </w:r>
      <w:r w:rsidR="00863ED9">
        <w:t xml:space="preserve">.  </w:t>
      </w:r>
      <w:r w:rsidR="002E51F1">
        <w:t>I</w:t>
      </w:r>
      <w:r w:rsidRPr="008303E0">
        <w:t>n 2013</w:t>
      </w:r>
      <w:r w:rsidR="002E51F1">
        <w:t>,</w:t>
      </w:r>
      <w:r w:rsidRPr="008303E0">
        <w:t xml:space="preserve"> NVE received budgetary cost information</w:t>
      </w:r>
      <w:r w:rsidRPr="008303E0">
        <w:rPr>
          <w:spacing w:val="-6"/>
        </w:rPr>
        <w:t xml:space="preserve"> </w:t>
      </w:r>
      <w:r w:rsidRPr="008303E0">
        <w:t>for</w:t>
      </w:r>
      <w:r w:rsidRPr="008303E0">
        <w:rPr>
          <w:spacing w:val="-4"/>
        </w:rPr>
        <w:t xml:space="preserve"> </w:t>
      </w:r>
      <w:r w:rsidRPr="008303E0">
        <w:t>the</w:t>
      </w:r>
      <w:r w:rsidRPr="008303E0">
        <w:rPr>
          <w:spacing w:val="-4"/>
        </w:rPr>
        <w:t xml:space="preserve"> </w:t>
      </w:r>
      <w:r w:rsidRPr="008303E0">
        <w:t>principal</w:t>
      </w:r>
      <w:r w:rsidRPr="008303E0">
        <w:rPr>
          <w:spacing w:val="-4"/>
        </w:rPr>
        <w:t xml:space="preserve"> </w:t>
      </w:r>
      <w:r w:rsidRPr="008303E0">
        <w:t>equipment</w:t>
      </w:r>
      <w:r w:rsidRPr="008303E0">
        <w:rPr>
          <w:spacing w:val="-4"/>
        </w:rPr>
        <w:t xml:space="preserve"> </w:t>
      </w:r>
      <w:r w:rsidRPr="008303E0">
        <w:t>that</w:t>
      </w:r>
      <w:r w:rsidRPr="008303E0">
        <w:rPr>
          <w:spacing w:val="-4"/>
        </w:rPr>
        <w:t xml:space="preserve"> </w:t>
      </w:r>
      <w:r w:rsidRPr="008303E0">
        <w:t>would</w:t>
      </w:r>
      <w:r w:rsidRPr="008303E0">
        <w:rPr>
          <w:spacing w:val="-5"/>
        </w:rPr>
        <w:t xml:space="preserve"> </w:t>
      </w:r>
      <w:r w:rsidRPr="008303E0">
        <w:t>be</w:t>
      </w:r>
      <w:r w:rsidRPr="008303E0">
        <w:rPr>
          <w:spacing w:val="-4"/>
        </w:rPr>
        <w:t xml:space="preserve"> </w:t>
      </w:r>
      <w:r w:rsidRPr="008303E0">
        <w:t>required</w:t>
      </w:r>
      <w:r w:rsidRPr="008303E0">
        <w:rPr>
          <w:spacing w:val="-5"/>
        </w:rPr>
        <w:t xml:space="preserve"> </w:t>
      </w:r>
      <w:r w:rsidRPr="008303E0">
        <w:t>to</w:t>
      </w:r>
      <w:r w:rsidRPr="008303E0">
        <w:rPr>
          <w:spacing w:val="-5"/>
        </w:rPr>
        <w:t xml:space="preserve"> </w:t>
      </w:r>
      <w:r w:rsidRPr="008303E0">
        <w:t>implement</w:t>
      </w:r>
      <w:r w:rsidRPr="008303E0">
        <w:rPr>
          <w:spacing w:val="-4"/>
        </w:rPr>
        <w:t xml:space="preserve"> </w:t>
      </w:r>
      <w:r w:rsidRPr="008303E0">
        <w:t>this</w:t>
      </w:r>
      <w:r w:rsidRPr="008303E0">
        <w:rPr>
          <w:spacing w:val="-4"/>
        </w:rPr>
        <w:t xml:space="preserve"> </w:t>
      </w:r>
      <w:r w:rsidRPr="008303E0">
        <w:t>alternative</w:t>
      </w:r>
      <w:r w:rsidRPr="008303E0">
        <w:rPr>
          <w:spacing w:val="-6"/>
        </w:rPr>
        <w:t xml:space="preserve"> </w:t>
      </w:r>
      <w:r w:rsidRPr="008303E0">
        <w:t>from the vendor of this equipment, Babcock &amp; Wilcox (B&amp;W).</w:t>
      </w:r>
    </w:p>
    <w:p w14:paraId="41FB15A5" w14:textId="77777777" w:rsidR="008303E0" w:rsidRPr="008303E0" w:rsidRDefault="008303E0" w:rsidP="008303E0">
      <w:pPr>
        <w:pStyle w:val="Default"/>
        <w:contextualSpacing/>
        <w:rPr>
          <w:rFonts w:hAnsi="Calibri"/>
          <w:sz w:val="20"/>
        </w:rPr>
      </w:pPr>
    </w:p>
    <w:p w14:paraId="5EDDDF6B" w14:textId="3FE6C931" w:rsidR="008303E0" w:rsidRDefault="008303E0" w:rsidP="00CF504A">
      <w:pPr>
        <w:pStyle w:val="footnote"/>
      </w:pPr>
      <w:r w:rsidRPr="008303E0">
        <w:t>As</w:t>
      </w:r>
      <w:r w:rsidRPr="008303E0">
        <w:rPr>
          <w:spacing w:val="-8"/>
        </w:rPr>
        <w:t xml:space="preserve"> </w:t>
      </w:r>
      <w:r w:rsidRPr="008303E0">
        <w:t>shown</w:t>
      </w:r>
      <w:r w:rsidRPr="008303E0">
        <w:rPr>
          <w:spacing w:val="-8"/>
        </w:rPr>
        <w:t xml:space="preserve"> </w:t>
      </w:r>
      <w:r w:rsidRPr="008303E0">
        <w:t>in</w:t>
      </w:r>
      <w:r w:rsidRPr="008303E0">
        <w:rPr>
          <w:spacing w:val="-9"/>
        </w:rPr>
        <w:t xml:space="preserve"> </w:t>
      </w:r>
      <w:r w:rsidRPr="008303E0">
        <w:t>the</w:t>
      </w:r>
      <w:r w:rsidRPr="008303E0">
        <w:rPr>
          <w:spacing w:val="-9"/>
        </w:rPr>
        <w:t xml:space="preserve"> </w:t>
      </w:r>
      <w:r w:rsidRPr="008303E0">
        <w:t>attached</w:t>
      </w:r>
      <w:r w:rsidRPr="008303E0">
        <w:rPr>
          <w:spacing w:val="-9"/>
        </w:rPr>
        <w:t xml:space="preserve"> </w:t>
      </w:r>
      <w:r w:rsidRPr="008303E0">
        <w:t>cost</w:t>
      </w:r>
      <w:r w:rsidRPr="008303E0">
        <w:rPr>
          <w:spacing w:val="-9"/>
        </w:rPr>
        <w:t xml:space="preserve"> </w:t>
      </w:r>
      <w:r w:rsidRPr="008303E0">
        <w:t>estimate,</w:t>
      </w:r>
      <w:r w:rsidRPr="008303E0">
        <w:rPr>
          <w:spacing w:val="-8"/>
        </w:rPr>
        <w:t xml:space="preserve"> </w:t>
      </w:r>
      <w:r w:rsidRPr="008303E0">
        <w:t>the</w:t>
      </w:r>
      <w:r w:rsidRPr="008303E0">
        <w:rPr>
          <w:spacing w:val="-9"/>
        </w:rPr>
        <w:t xml:space="preserve"> </w:t>
      </w:r>
      <w:r w:rsidRPr="008303E0">
        <w:t>estimated</w:t>
      </w:r>
      <w:r w:rsidRPr="008303E0">
        <w:rPr>
          <w:spacing w:val="-8"/>
        </w:rPr>
        <w:t xml:space="preserve"> </w:t>
      </w:r>
      <w:r w:rsidRPr="008303E0">
        <w:t>capital</w:t>
      </w:r>
      <w:r w:rsidRPr="008303E0">
        <w:rPr>
          <w:spacing w:val="-9"/>
        </w:rPr>
        <w:t xml:space="preserve"> </w:t>
      </w:r>
      <w:r w:rsidRPr="008303E0">
        <w:t>cost</w:t>
      </w:r>
      <w:r w:rsidRPr="008303E0">
        <w:rPr>
          <w:spacing w:val="-8"/>
        </w:rPr>
        <w:t xml:space="preserve"> </w:t>
      </w:r>
      <w:r w:rsidRPr="008303E0">
        <w:t>of</w:t>
      </w:r>
      <w:r w:rsidRPr="008303E0">
        <w:rPr>
          <w:spacing w:val="-9"/>
        </w:rPr>
        <w:t xml:space="preserve"> </w:t>
      </w:r>
      <w:r w:rsidRPr="008303E0">
        <w:t>retrofitting</w:t>
      </w:r>
      <w:r w:rsidRPr="008303E0">
        <w:rPr>
          <w:spacing w:val="-9"/>
        </w:rPr>
        <w:t xml:space="preserve"> </w:t>
      </w:r>
      <w:r w:rsidRPr="008303E0">
        <w:t>the</w:t>
      </w:r>
      <w:r w:rsidRPr="008303E0">
        <w:rPr>
          <w:spacing w:val="-9"/>
        </w:rPr>
        <w:t xml:space="preserve"> </w:t>
      </w:r>
      <w:r w:rsidRPr="008303E0">
        <w:t>existing</w:t>
      </w:r>
      <w:r w:rsidRPr="008303E0">
        <w:rPr>
          <w:spacing w:val="-9"/>
        </w:rPr>
        <w:t xml:space="preserve"> </w:t>
      </w:r>
      <w:r w:rsidRPr="008303E0">
        <w:t>multi- atomizer</w:t>
      </w:r>
      <w:r w:rsidRPr="008303E0">
        <w:rPr>
          <w:spacing w:val="-2"/>
        </w:rPr>
        <w:t xml:space="preserve"> </w:t>
      </w:r>
      <w:r w:rsidRPr="008303E0">
        <w:t>spray</w:t>
      </w:r>
      <w:r w:rsidRPr="008303E0">
        <w:rPr>
          <w:spacing w:val="1"/>
        </w:rPr>
        <w:t xml:space="preserve"> </w:t>
      </w:r>
      <w:r w:rsidRPr="008303E0">
        <w:t>dryers</w:t>
      </w:r>
      <w:r w:rsidRPr="008303E0">
        <w:rPr>
          <w:spacing w:val="1"/>
        </w:rPr>
        <w:t xml:space="preserve"> </w:t>
      </w:r>
      <w:r w:rsidRPr="008303E0">
        <w:t>with</w:t>
      </w:r>
      <w:r w:rsidRPr="008303E0">
        <w:rPr>
          <w:spacing w:val="1"/>
        </w:rPr>
        <w:t xml:space="preserve"> </w:t>
      </w:r>
      <w:r w:rsidRPr="008303E0">
        <w:t>single</w:t>
      </w:r>
      <w:r w:rsidRPr="008303E0">
        <w:rPr>
          <w:spacing w:val="1"/>
        </w:rPr>
        <w:t xml:space="preserve"> </w:t>
      </w:r>
      <w:r w:rsidRPr="008303E0">
        <w:t>atomizer systems</w:t>
      </w:r>
      <w:r w:rsidRPr="008303E0">
        <w:rPr>
          <w:spacing w:val="1"/>
        </w:rPr>
        <w:t xml:space="preserve"> </w:t>
      </w:r>
      <w:r w:rsidRPr="008303E0">
        <w:t>is</w:t>
      </w:r>
      <w:r w:rsidRPr="008303E0">
        <w:rPr>
          <w:spacing w:val="1"/>
        </w:rPr>
        <w:t xml:space="preserve"> </w:t>
      </w:r>
      <w:r w:rsidRPr="008303E0">
        <w:t>over</w:t>
      </w:r>
      <w:r w:rsidRPr="008303E0">
        <w:rPr>
          <w:spacing w:val="1"/>
        </w:rPr>
        <w:t xml:space="preserve"> </w:t>
      </w:r>
      <w:r w:rsidRPr="008303E0">
        <w:t>$46</w:t>
      </w:r>
      <w:r w:rsidRPr="008303E0">
        <w:rPr>
          <w:spacing w:val="1"/>
        </w:rPr>
        <w:t xml:space="preserve"> </w:t>
      </w:r>
      <w:r w:rsidR="009F0D6A">
        <w:t>million</w:t>
      </w:r>
      <w:r w:rsidR="00863ED9">
        <w:t xml:space="preserve">.  </w:t>
      </w:r>
      <w:r w:rsidRPr="008303E0">
        <w:t>The</w:t>
      </w:r>
      <w:r w:rsidRPr="008303E0">
        <w:rPr>
          <w:spacing w:val="1"/>
        </w:rPr>
        <w:t xml:space="preserve"> </w:t>
      </w:r>
      <w:r w:rsidRPr="008303E0">
        <w:t>total</w:t>
      </w:r>
      <w:r w:rsidRPr="008303E0">
        <w:rPr>
          <w:spacing w:val="1"/>
        </w:rPr>
        <w:t xml:space="preserve"> </w:t>
      </w:r>
      <w:r w:rsidRPr="008303E0">
        <w:t>annualized</w:t>
      </w:r>
      <w:r w:rsidRPr="008303E0">
        <w:rPr>
          <w:spacing w:val="1"/>
        </w:rPr>
        <w:t xml:space="preserve"> </w:t>
      </w:r>
      <w:r w:rsidRPr="008303E0">
        <w:t>cost</w:t>
      </w:r>
      <w:r w:rsidRPr="008303E0">
        <w:rPr>
          <w:spacing w:val="1"/>
        </w:rPr>
        <w:t xml:space="preserve"> </w:t>
      </w:r>
      <w:r w:rsidRPr="008303E0">
        <w:rPr>
          <w:spacing w:val="-5"/>
        </w:rPr>
        <w:t>of</w:t>
      </w:r>
      <w:r>
        <w:rPr>
          <w:spacing w:val="-5"/>
        </w:rPr>
        <w:t xml:space="preserve"> </w:t>
      </w:r>
      <w:r w:rsidRPr="008303E0">
        <w:t>this</w:t>
      </w:r>
      <w:r w:rsidRPr="008303E0">
        <w:rPr>
          <w:spacing w:val="-2"/>
        </w:rPr>
        <w:t xml:space="preserve"> </w:t>
      </w:r>
      <w:r w:rsidRPr="008303E0">
        <w:t>alternative,</w:t>
      </w:r>
      <w:r w:rsidRPr="008303E0">
        <w:rPr>
          <w:spacing w:val="-2"/>
        </w:rPr>
        <w:t xml:space="preserve"> </w:t>
      </w:r>
      <w:r w:rsidRPr="008303E0">
        <w:t>assuming</w:t>
      </w:r>
      <w:r w:rsidRPr="008303E0">
        <w:rPr>
          <w:spacing w:val="-2"/>
        </w:rPr>
        <w:t xml:space="preserve"> </w:t>
      </w:r>
      <w:r w:rsidRPr="008303E0">
        <w:t>that</w:t>
      </w:r>
      <w:r w:rsidRPr="008303E0">
        <w:rPr>
          <w:spacing w:val="-3"/>
        </w:rPr>
        <w:t xml:space="preserve"> </w:t>
      </w:r>
      <w:r w:rsidRPr="008303E0">
        <w:t>it</w:t>
      </w:r>
      <w:r w:rsidRPr="008303E0">
        <w:rPr>
          <w:spacing w:val="-3"/>
        </w:rPr>
        <w:t xml:space="preserve"> </w:t>
      </w:r>
      <w:r w:rsidRPr="008303E0">
        <w:t>would</w:t>
      </w:r>
      <w:r w:rsidRPr="008303E0">
        <w:rPr>
          <w:spacing w:val="-2"/>
        </w:rPr>
        <w:t xml:space="preserve"> </w:t>
      </w:r>
      <w:r w:rsidRPr="008303E0">
        <w:t>be</w:t>
      </w:r>
      <w:r w:rsidRPr="008303E0">
        <w:rPr>
          <w:spacing w:val="-2"/>
        </w:rPr>
        <w:t xml:space="preserve"> </w:t>
      </w:r>
      <w:r w:rsidRPr="008303E0">
        <w:t>operational</w:t>
      </w:r>
      <w:r w:rsidRPr="008303E0">
        <w:rPr>
          <w:spacing w:val="-1"/>
        </w:rPr>
        <w:t xml:space="preserve"> </w:t>
      </w:r>
      <w:r w:rsidRPr="008303E0">
        <w:t>by</w:t>
      </w:r>
      <w:r w:rsidRPr="008303E0">
        <w:rPr>
          <w:spacing w:val="-2"/>
        </w:rPr>
        <w:t xml:space="preserve"> </w:t>
      </w:r>
      <w:r w:rsidRPr="008303E0">
        <w:t>the</w:t>
      </w:r>
      <w:r w:rsidRPr="008303E0">
        <w:rPr>
          <w:spacing w:val="-2"/>
        </w:rPr>
        <w:t xml:space="preserve"> </w:t>
      </w:r>
      <w:r w:rsidRPr="008303E0">
        <w:t>end</w:t>
      </w:r>
      <w:r w:rsidRPr="008303E0">
        <w:rPr>
          <w:spacing w:val="-2"/>
        </w:rPr>
        <w:t xml:space="preserve"> </w:t>
      </w:r>
      <w:r w:rsidRPr="008303E0">
        <w:t>of</w:t>
      </w:r>
      <w:r w:rsidRPr="008303E0">
        <w:rPr>
          <w:spacing w:val="-1"/>
        </w:rPr>
        <w:t xml:space="preserve"> </w:t>
      </w:r>
      <w:r w:rsidRPr="008303E0">
        <w:t>2024,</w:t>
      </w:r>
      <w:r w:rsidRPr="008303E0">
        <w:rPr>
          <w:spacing w:val="-2"/>
        </w:rPr>
        <w:t xml:space="preserve"> </w:t>
      </w:r>
      <w:r w:rsidRPr="008303E0">
        <w:t>is</w:t>
      </w:r>
      <w:r w:rsidRPr="008303E0">
        <w:rPr>
          <w:spacing w:val="-2"/>
        </w:rPr>
        <w:t xml:space="preserve"> </w:t>
      </w:r>
      <w:r w:rsidRPr="008303E0">
        <w:t>estimated</w:t>
      </w:r>
      <w:r w:rsidRPr="008303E0">
        <w:rPr>
          <w:spacing w:val="-3"/>
        </w:rPr>
        <w:t xml:space="preserve"> </w:t>
      </w:r>
      <w:r w:rsidRPr="008303E0">
        <w:t>at</w:t>
      </w:r>
      <w:r w:rsidRPr="008303E0">
        <w:rPr>
          <w:spacing w:val="-1"/>
        </w:rPr>
        <w:t xml:space="preserve"> </w:t>
      </w:r>
      <w:r w:rsidRPr="008303E0">
        <w:t>over</w:t>
      </w:r>
      <w:r w:rsidRPr="008303E0">
        <w:rPr>
          <w:spacing w:val="-3"/>
        </w:rPr>
        <w:t xml:space="preserve"> </w:t>
      </w:r>
      <w:r w:rsidRPr="008303E0">
        <w:t xml:space="preserve">$17 </w:t>
      </w:r>
      <w:r w:rsidR="009F0D6A">
        <w:t>million</w:t>
      </w:r>
      <w:r w:rsidR="009F0D6A" w:rsidRPr="008303E0">
        <w:rPr>
          <w:spacing w:val="-8"/>
        </w:rPr>
        <w:t xml:space="preserve"> </w:t>
      </w:r>
      <w:r w:rsidRPr="008303E0">
        <w:t>per</w:t>
      </w:r>
      <w:r w:rsidRPr="008303E0">
        <w:rPr>
          <w:spacing w:val="-7"/>
        </w:rPr>
        <w:t xml:space="preserve"> </w:t>
      </w:r>
      <w:r w:rsidRPr="008303E0">
        <w:t>year</w:t>
      </w:r>
      <w:r w:rsidR="00863ED9">
        <w:t xml:space="preserve">.  </w:t>
      </w:r>
      <w:r w:rsidRPr="008303E0">
        <w:t>At</w:t>
      </w:r>
      <w:r w:rsidRPr="008303E0">
        <w:rPr>
          <w:spacing w:val="-7"/>
        </w:rPr>
        <w:t xml:space="preserve"> </w:t>
      </w:r>
      <w:r w:rsidRPr="008303E0">
        <w:t>an</w:t>
      </w:r>
      <w:r w:rsidRPr="008303E0">
        <w:rPr>
          <w:spacing w:val="-8"/>
        </w:rPr>
        <w:t xml:space="preserve"> </w:t>
      </w:r>
      <w:r w:rsidRPr="008303E0">
        <w:t>estimated</w:t>
      </w:r>
      <w:r w:rsidRPr="008303E0">
        <w:rPr>
          <w:spacing w:val="-8"/>
        </w:rPr>
        <w:t xml:space="preserve"> </w:t>
      </w:r>
      <w:r w:rsidR="00D6102A" w:rsidRPr="008303E0">
        <w:t>SO</w:t>
      </w:r>
      <w:r w:rsidR="00D6102A" w:rsidRPr="00D6102A">
        <w:rPr>
          <w:vertAlign w:val="subscript"/>
        </w:rPr>
        <w:t>2</w:t>
      </w:r>
      <w:r w:rsidRPr="008303E0">
        <w:rPr>
          <w:spacing w:val="-8"/>
        </w:rPr>
        <w:t xml:space="preserve"> </w:t>
      </w:r>
      <w:r w:rsidRPr="008303E0">
        <w:t>control</w:t>
      </w:r>
      <w:r w:rsidRPr="008303E0">
        <w:rPr>
          <w:spacing w:val="-7"/>
        </w:rPr>
        <w:t xml:space="preserve"> </w:t>
      </w:r>
      <w:r w:rsidRPr="008303E0">
        <w:t>efficiency</w:t>
      </w:r>
      <w:r w:rsidRPr="008303E0">
        <w:rPr>
          <w:spacing w:val="-8"/>
        </w:rPr>
        <w:t xml:space="preserve"> </w:t>
      </w:r>
      <w:r w:rsidRPr="008303E0">
        <w:t>of</w:t>
      </w:r>
      <w:r w:rsidRPr="008303E0">
        <w:rPr>
          <w:spacing w:val="-7"/>
        </w:rPr>
        <w:t xml:space="preserve"> </w:t>
      </w:r>
      <w:r w:rsidRPr="008303E0">
        <w:t>94%,</w:t>
      </w:r>
      <w:r w:rsidRPr="008303E0">
        <w:rPr>
          <w:spacing w:val="-8"/>
        </w:rPr>
        <w:t xml:space="preserve"> </w:t>
      </w:r>
      <w:r w:rsidRPr="008303E0">
        <w:t>this</w:t>
      </w:r>
      <w:r w:rsidRPr="008303E0">
        <w:rPr>
          <w:spacing w:val="-8"/>
        </w:rPr>
        <w:t xml:space="preserve"> </w:t>
      </w:r>
      <w:r w:rsidRPr="008303E0">
        <w:t>alternative</w:t>
      </w:r>
      <w:r w:rsidRPr="008303E0">
        <w:rPr>
          <w:spacing w:val="-8"/>
        </w:rPr>
        <w:t xml:space="preserve"> </w:t>
      </w:r>
      <w:r w:rsidRPr="008303E0">
        <w:lastRenderedPageBreak/>
        <w:t>would</w:t>
      </w:r>
      <w:r w:rsidRPr="008303E0">
        <w:rPr>
          <w:spacing w:val="-8"/>
        </w:rPr>
        <w:t xml:space="preserve"> </w:t>
      </w:r>
      <w:r w:rsidRPr="008303E0">
        <w:t>control</w:t>
      </w:r>
      <w:r w:rsidRPr="008303E0">
        <w:rPr>
          <w:spacing w:val="-7"/>
        </w:rPr>
        <w:t xml:space="preserve"> </w:t>
      </w:r>
      <w:r w:rsidRPr="008303E0">
        <w:t>a</w:t>
      </w:r>
      <w:r w:rsidRPr="008303E0">
        <w:rPr>
          <w:spacing w:val="-9"/>
        </w:rPr>
        <w:t xml:space="preserve"> </w:t>
      </w:r>
      <w:r w:rsidRPr="008303E0">
        <w:t>total 2,141 tons/</w:t>
      </w:r>
      <w:proofErr w:type="spellStart"/>
      <w:r w:rsidRPr="008303E0">
        <w:t>yr</w:t>
      </w:r>
      <w:proofErr w:type="spellEnd"/>
      <w:r w:rsidRPr="008303E0">
        <w:t xml:space="preserve"> based</w:t>
      </w:r>
      <w:r w:rsidRPr="008303E0">
        <w:rPr>
          <w:spacing w:val="-1"/>
        </w:rPr>
        <w:t xml:space="preserve"> </w:t>
      </w:r>
      <w:r w:rsidRPr="008303E0">
        <w:t>on the projected</w:t>
      </w:r>
      <w:r w:rsidRPr="008303E0">
        <w:rPr>
          <w:spacing w:val="-1"/>
        </w:rPr>
        <w:t xml:space="preserve"> </w:t>
      </w:r>
      <w:r w:rsidRPr="008303E0">
        <w:t>output of Unit 2</w:t>
      </w:r>
      <w:r w:rsidRPr="008303E0">
        <w:rPr>
          <w:spacing w:val="-1"/>
        </w:rPr>
        <w:t xml:space="preserve"> </w:t>
      </w:r>
      <w:r w:rsidRPr="008303E0">
        <w:t>in 2028</w:t>
      </w:r>
      <w:r w:rsidR="00863ED9">
        <w:t xml:space="preserve">.  </w:t>
      </w:r>
      <w:r w:rsidRPr="008303E0">
        <w:t>Thus, the overall cost effectiveness of</w:t>
      </w:r>
      <w:r w:rsidRPr="008303E0">
        <w:rPr>
          <w:spacing w:val="-7"/>
        </w:rPr>
        <w:t xml:space="preserve"> </w:t>
      </w:r>
      <w:r w:rsidRPr="008303E0">
        <w:t>this</w:t>
      </w:r>
      <w:r w:rsidRPr="008303E0">
        <w:rPr>
          <w:spacing w:val="-7"/>
        </w:rPr>
        <w:t xml:space="preserve"> </w:t>
      </w:r>
      <w:r w:rsidRPr="008303E0">
        <w:t>alternative</w:t>
      </w:r>
      <w:r w:rsidRPr="008303E0">
        <w:rPr>
          <w:spacing w:val="-9"/>
        </w:rPr>
        <w:t xml:space="preserve"> </w:t>
      </w:r>
      <w:r w:rsidRPr="008303E0">
        <w:t>is</w:t>
      </w:r>
      <w:r w:rsidRPr="008303E0">
        <w:rPr>
          <w:spacing w:val="-7"/>
        </w:rPr>
        <w:t xml:space="preserve"> </w:t>
      </w:r>
      <w:r w:rsidRPr="008303E0">
        <w:t>about</w:t>
      </w:r>
      <w:r w:rsidRPr="008303E0">
        <w:rPr>
          <w:spacing w:val="-8"/>
        </w:rPr>
        <w:t xml:space="preserve"> </w:t>
      </w:r>
      <w:r w:rsidRPr="008303E0">
        <w:t>$8,000</w:t>
      </w:r>
      <w:r w:rsidRPr="008303E0">
        <w:rPr>
          <w:spacing w:val="-7"/>
        </w:rPr>
        <w:t xml:space="preserve"> </w:t>
      </w:r>
      <w:r w:rsidRPr="008303E0">
        <w:t>per</w:t>
      </w:r>
      <w:r w:rsidRPr="008303E0">
        <w:rPr>
          <w:spacing w:val="-7"/>
        </w:rPr>
        <w:t xml:space="preserve"> </w:t>
      </w:r>
      <w:r w:rsidRPr="008303E0">
        <w:t>ton</w:t>
      </w:r>
      <w:r w:rsidRPr="008303E0">
        <w:rPr>
          <w:spacing w:val="-7"/>
        </w:rPr>
        <w:t xml:space="preserve"> </w:t>
      </w:r>
      <w:r w:rsidRPr="008303E0">
        <w:t>controlled</w:t>
      </w:r>
      <w:r w:rsidR="00863ED9">
        <w:t xml:space="preserve">.  </w:t>
      </w:r>
      <w:r w:rsidRPr="008303E0">
        <w:t>Compared</w:t>
      </w:r>
      <w:r w:rsidRPr="008303E0">
        <w:rPr>
          <w:spacing w:val="-8"/>
        </w:rPr>
        <w:t xml:space="preserve"> </w:t>
      </w:r>
      <w:r w:rsidRPr="008303E0">
        <w:t>to</w:t>
      </w:r>
      <w:r w:rsidRPr="008303E0">
        <w:rPr>
          <w:spacing w:val="-7"/>
        </w:rPr>
        <w:t xml:space="preserve"> </w:t>
      </w:r>
      <w:r w:rsidRPr="008303E0">
        <w:t>the</w:t>
      </w:r>
      <w:r w:rsidRPr="008303E0">
        <w:rPr>
          <w:spacing w:val="-9"/>
        </w:rPr>
        <w:t xml:space="preserve"> </w:t>
      </w:r>
      <w:r w:rsidRPr="008303E0">
        <w:t>current</w:t>
      </w:r>
      <w:r w:rsidRPr="008303E0">
        <w:rPr>
          <w:spacing w:val="-7"/>
        </w:rPr>
        <w:t xml:space="preserve"> </w:t>
      </w:r>
      <w:r w:rsidRPr="008303E0">
        <w:t>FGD</w:t>
      </w:r>
      <w:r w:rsidRPr="008303E0">
        <w:rPr>
          <w:spacing w:val="-8"/>
        </w:rPr>
        <w:t xml:space="preserve"> </w:t>
      </w:r>
      <w:r w:rsidRPr="008303E0">
        <w:t>system</w:t>
      </w:r>
      <w:r w:rsidRPr="008303E0">
        <w:rPr>
          <w:spacing w:val="-6"/>
        </w:rPr>
        <w:t xml:space="preserve"> </w:t>
      </w:r>
      <w:r w:rsidRPr="008303E0">
        <w:t>on</w:t>
      </w:r>
      <w:r w:rsidRPr="008303E0">
        <w:rPr>
          <w:spacing w:val="-7"/>
        </w:rPr>
        <w:t xml:space="preserve"> </w:t>
      </w:r>
      <w:r w:rsidRPr="008303E0">
        <w:t>Unit 2, this alternative would control an additional 364.4 tons/</w:t>
      </w:r>
      <w:proofErr w:type="spellStart"/>
      <w:r w:rsidRPr="008303E0">
        <w:t>yr</w:t>
      </w:r>
      <w:proofErr w:type="spellEnd"/>
      <w:r w:rsidRPr="008303E0">
        <w:t>; in this regard, the system retrofit would have an incremental cost effectiveness of over $46,500 per additional ton removed.</w:t>
      </w:r>
    </w:p>
    <w:p w14:paraId="73EF9F4A" w14:textId="4ABEC69A" w:rsidR="008303E0" w:rsidRDefault="008303E0" w:rsidP="008303E0">
      <w:pPr>
        <w:pStyle w:val="Default"/>
        <w:contextualSpacing/>
        <w:rPr>
          <w:rFonts w:hAnsi="Calibri"/>
        </w:rPr>
      </w:pPr>
    </w:p>
    <w:p w14:paraId="00D0F00E" w14:textId="090CF6BF" w:rsidR="008303E0" w:rsidRDefault="005F38B2" w:rsidP="008303E0">
      <w:pPr>
        <w:pStyle w:val="Default"/>
        <w:contextualSpacing/>
        <w:rPr>
          <w:rFonts w:hAnsi="Calibri"/>
        </w:rPr>
      </w:pPr>
      <w:r>
        <w:rPr>
          <w:rFonts w:hAnsi="Calibri"/>
        </w:rPr>
        <w:t>Because the CCM advises against escalating costs more than five years to account for inflation,</w:t>
      </w:r>
      <w:r w:rsidR="00974196">
        <w:rPr>
          <w:rFonts w:hAnsi="Calibri"/>
        </w:rPr>
        <w:t xml:space="preserve"> </w:t>
      </w:r>
      <w:r w:rsidR="00933DEA">
        <w:rPr>
          <w:rFonts w:hAnsi="Calibri"/>
        </w:rPr>
        <w:t>The NPS</w:t>
      </w:r>
      <w:r>
        <w:rPr>
          <w:rFonts w:hAnsi="Calibri"/>
        </w:rPr>
        <w:t xml:space="preserve"> used the </w:t>
      </w:r>
      <w:r w:rsidR="0096220F">
        <w:rPr>
          <w:rFonts w:hAnsi="Calibri"/>
        </w:rPr>
        <w:t xml:space="preserve">2013 budgetary Basic Equipment Cost estimated provided by Babcock &amp; Wilcox to NVE of </w:t>
      </w:r>
      <w:r>
        <w:rPr>
          <w:rFonts w:hAnsi="Calibri"/>
        </w:rPr>
        <w:t>$11,400,000 to estimate the Total Capital Investment</w:t>
      </w:r>
      <w:r w:rsidR="00863ED9">
        <w:rPr>
          <w:rFonts w:hAnsi="Calibri"/>
        </w:rPr>
        <w:t xml:space="preserve">.  </w:t>
      </w:r>
      <w:r w:rsidR="00933DEA">
        <w:rPr>
          <w:rFonts w:hAnsi="Calibri"/>
        </w:rPr>
        <w:t>The NPS</w:t>
      </w:r>
      <w:r w:rsidR="006F1A66">
        <w:rPr>
          <w:rFonts w:hAnsi="Calibri"/>
        </w:rPr>
        <w:t xml:space="preserve"> note</w:t>
      </w:r>
      <w:r w:rsidR="00830FE1">
        <w:rPr>
          <w:rFonts w:hAnsi="Calibri"/>
        </w:rPr>
        <w:t>s</w:t>
      </w:r>
      <w:r w:rsidR="006F1A66">
        <w:rPr>
          <w:rFonts w:hAnsi="Calibri"/>
        </w:rPr>
        <w:t xml:space="preserve"> that the costing method used by NVE is inconsistent with the CCM method described below</w:t>
      </w:r>
      <w:r w:rsidR="00863ED9">
        <w:rPr>
          <w:rFonts w:hAnsi="Calibri"/>
        </w:rPr>
        <w:t xml:space="preserve">.  </w:t>
      </w:r>
      <w:r w:rsidR="006F1A66">
        <w:rPr>
          <w:rFonts w:hAnsi="Calibri"/>
        </w:rPr>
        <w:t>For example, NVE</w:t>
      </w:r>
      <w:r w:rsidR="006F1A66">
        <w:rPr>
          <w:rFonts w:hAnsi="Calibri"/>
        </w:rPr>
        <w:t>’</w:t>
      </w:r>
      <w:r w:rsidR="006F1A66">
        <w:rPr>
          <w:rFonts w:hAnsi="Calibri"/>
        </w:rPr>
        <w:t xml:space="preserve">s method assumed that the </w:t>
      </w:r>
      <w:r w:rsidR="006F1A66" w:rsidRPr="006F1A66">
        <w:rPr>
          <w:rFonts w:hAnsi="Calibri"/>
        </w:rPr>
        <w:t xml:space="preserve">Direct </w:t>
      </w:r>
      <w:r w:rsidR="006F1A66">
        <w:rPr>
          <w:rFonts w:hAnsi="Calibri"/>
        </w:rPr>
        <w:t>I</w:t>
      </w:r>
      <w:r w:rsidR="006F1A66" w:rsidRPr="006F1A66">
        <w:rPr>
          <w:rFonts w:hAnsi="Calibri"/>
        </w:rPr>
        <w:t xml:space="preserve">nstallation </w:t>
      </w:r>
      <w:r w:rsidR="006F1A66">
        <w:rPr>
          <w:rFonts w:hAnsi="Calibri"/>
        </w:rPr>
        <w:t>C</w:t>
      </w:r>
      <w:r w:rsidR="006F1A66" w:rsidRPr="006F1A66">
        <w:rPr>
          <w:rFonts w:hAnsi="Calibri"/>
        </w:rPr>
        <w:t>ost</w:t>
      </w:r>
      <w:r w:rsidR="006F1A66">
        <w:rPr>
          <w:rFonts w:hAnsi="Calibri"/>
        </w:rPr>
        <w:t xml:space="preserve"> is 90% of the Purchased Equipment Cost (PEC) versus the CCM estimate = 85% of the PEC</w:t>
      </w:r>
      <w:r w:rsidR="00863ED9">
        <w:rPr>
          <w:rFonts w:hAnsi="Calibri"/>
        </w:rPr>
        <w:t xml:space="preserve">.  </w:t>
      </w:r>
      <w:r w:rsidR="00E620D5">
        <w:rPr>
          <w:rFonts w:hAnsi="Calibri"/>
        </w:rPr>
        <w:t>NVE also estimated the Indirect Costs at 45% of the PEC versus the CCM estimate = 32%</w:t>
      </w:r>
      <w:r w:rsidR="00863ED9">
        <w:rPr>
          <w:rFonts w:hAnsi="Calibri"/>
        </w:rPr>
        <w:t xml:space="preserve">. </w:t>
      </w:r>
      <w:r w:rsidR="00E620D5">
        <w:rPr>
          <w:rFonts w:hAnsi="Calibri"/>
        </w:rPr>
        <w:t>(NVE included 977,000 in Owner</w:t>
      </w:r>
      <w:r w:rsidR="00E620D5">
        <w:rPr>
          <w:rFonts w:hAnsi="Calibri"/>
        </w:rPr>
        <w:t>’</w:t>
      </w:r>
      <w:r w:rsidR="00E620D5">
        <w:rPr>
          <w:rFonts w:hAnsi="Calibri"/>
        </w:rPr>
        <w:t xml:space="preserve">s Costs which are not allowed by the CCM.) </w:t>
      </w:r>
      <w:r w:rsidR="00933DEA">
        <w:rPr>
          <w:rFonts w:hAnsi="Calibri"/>
        </w:rPr>
        <w:t>The NPS</w:t>
      </w:r>
      <w:r>
        <w:rPr>
          <w:rFonts w:hAnsi="Calibri"/>
        </w:rPr>
        <w:t xml:space="preserve"> used the method shown in </w:t>
      </w:r>
      <w:r w:rsidRPr="005F38B2">
        <w:rPr>
          <w:rFonts w:hAnsi="Calibri"/>
        </w:rPr>
        <w:t>Table 1.8: Capital Cost Factors for Wet Packed Tower Absorbers</w:t>
      </w:r>
      <w:r>
        <w:rPr>
          <w:rFonts w:hAnsi="Calibri"/>
        </w:rPr>
        <w:t xml:space="preserve"> in </w:t>
      </w:r>
      <w:r w:rsidRPr="005F38B2">
        <w:rPr>
          <w:rFonts w:hAnsi="Calibri"/>
        </w:rPr>
        <w:t>7th edition</w:t>
      </w:r>
      <w:r w:rsidR="00784C13">
        <w:rPr>
          <w:rFonts w:hAnsi="Calibri"/>
        </w:rPr>
        <w:t xml:space="preserve"> of the CCM</w:t>
      </w:r>
      <w:r w:rsidRPr="005F38B2">
        <w:rPr>
          <w:rFonts w:hAnsi="Calibri"/>
        </w:rPr>
        <w:t>, Section 5 (SO</w:t>
      </w:r>
      <w:r w:rsidRPr="00CF504A">
        <w:t>₂</w:t>
      </w:r>
      <w:r w:rsidRPr="005F38B2">
        <w:rPr>
          <w:rFonts w:hAnsi="Calibri"/>
        </w:rPr>
        <w:t xml:space="preserve"> and Acid Gas Controls), Chapter 1 (Wet and Dry Scrubbers for Acid Gas Control)</w:t>
      </w:r>
      <w:r>
        <w:rPr>
          <w:rFonts w:hAnsi="Calibri"/>
        </w:rPr>
        <w:t xml:space="preserve"> to estimate the Total Capital Investment (TCI) to upgrade the Unit 2 scrubber would be </w:t>
      </w:r>
      <w:r w:rsidR="009B4F34">
        <w:rPr>
          <w:rFonts w:hAnsi="Calibri"/>
        </w:rPr>
        <w:t>$</w:t>
      </w:r>
      <w:r>
        <w:rPr>
          <w:rFonts w:hAnsi="Calibri"/>
        </w:rPr>
        <w:t>27,211,800</w:t>
      </w:r>
      <w:r w:rsidR="009B4F34">
        <w:rPr>
          <w:rFonts w:hAnsi="Calibri"/>
        </w:rPr>
        <w:t>, which leads to an annual capital cost of $7,989,384.</w:t>
      </w:r>
    </w:p>
    <w:p w14:paraId="722BDF21" w14:textId="181BDD71" w:rsidR="00113842" w:rsidRDefault="00113842" w:rsidP="008303E0">
      <w:pPr>
        <w:pStyle w:val="Default"/>
        <w:contextualSpacing/>
        <w:rPr>
          <w:rFonts w:hAnsi="Calibri"/>
        </w:rPr>
      </w:pPr>
    </w:p>
    <w:p w14:paraId="587A280B" w14:textId="6543EEE2" w:rsidR="008303E0" w:rsidRPr="008303E0" w:rsidRDefault="00113842" w:rsidP="003F19E3">
      <w:pPr>
        <w:pStyle w:val="Default"/>
        <w:contextualSpacing/>
        <w:rPr>
          <w:rFonts w:eastAsia="Calibri" w:hAnsi="Calibri" w:cs="Calibri"/>
          <w:szCs w:val="22"/>
        </w:rPr>
      </w:pPr>
      <w:r>
        <w:rPr>
          <w:rFonts w:hAnsi="Calibri"/>
        </w:rPr>
        <w:t xml:space="preserve">To estimate the increase in Direct Annual Costs due to increased consumables, </w:t>
      </w:r>
      <w:r w:rsidR="002717F0">
        <w:rPr>
          <w:rFonts w:hAnsi="Calibri"/>
        </w:rPr>
        <w:t>t</w:t>
      </w:r>
      <w:r w:rsidR="00933DEA">
        <w:rPr>
          <w:rFonts w:hAnsi="Calibri"/>
        </w:rPr>
        <w:t>he NPS</w:t>
      </w:r>
      <w:r>
        <w:rPr>
          <w:rFonts w:hAnsi="Calibri"/>
        </w:rPr>
        <w:t xml:space="preserve"> applied the CCM workbook for Spray Dry Absorbers to both the existing control scenario and to a 94% control scenario</w:t>
      </w:r>
      <w:r w:rsidR="00863ED9">
        <w:rPr>
          <w:rFonts w:hAnsi="Calibri"/>
        </w:rPr>
        <w:t xml:space="preserve">.  </w:t>
      </w:r>
      <w:r w:rsidR="00933DEA">
        <w:rPr>
          <w:rFonts w:hAnsi="Calibri"/>
        </w:rPr>
        <w:t>The NPS</w:t>
      </w:r>
      <w:r>
        <w:rPr>
          <w:rFonts w:hAnsi="Calibri"/>
        </w:rPr>
        <w:t xml:space="preserve"> estimate</w:t>
      </w:r>
      <w:r w:rsidR="0003224C">
        <w:rPr>
          <w:rFonts w:hAnsi="Calibri"/>
        </w:rPr>
        <w:t>s</w:t>
      </w:r>
      <w:r>
        <w:rPr>
          <w:rFonts w:hAnsi="Calibri"/>
        </w:rPr>
        <w:t xml:space="preserve"> the </w:t>
      </w:r>
      <w:r w:rsidR="002717F0">
        <w:rPr>
          <w:rFonts w:hAnsi="Calibri"/>
        </w:rPr>
        <w:t xml:space="preserve">costs of </w:t>
      </w:r>
      <w:r>
        <w:rPr>
          <w:rFonts w:hAnsi="Calibri"/>
        </w:rPr>
        <w:t>inc</w:t>
      </w:r>
      <w:r w:rsidR="006A178D">
        <w:rPr>
          <w:rFonts w:hAnsi="Calibri"/>
        </w:rPr>
        <w:t>re</w:t>
      </w:r>
      <w:r>
        <w:rPr>
          <w:rFonts w:hAnsi="Calibri"/>
        </w:rPr>
        <w:t xml:space="preserve">ased scrubbing </w:t>
      </w:r>
      <w:r w:rsidR="002717F0">
        <w:rPr>
          <w:rFonts w:hAnsi="Calibri"/>
        </w:rPr>
        <w:t xml:space="preserve">to exceed </w:t>
      </w:r>
      <w:r>
        <w:rPr>
          <w:rFonts w:hAnsi="Calibri"/>
        </w:rPr>
        <w:t>$112,000/yr</w:t>
      </w:r>
      <w:r w:rsidR="00863ED9">
        <w:rPr>
          <w:rFonts w:hAnsi="Calibri"/>
        </w:rPr>
        <w:t xml:space="preserve">.  </w:t>
      </w:r>
      <w:r>
        <w:rPr>
          <w:rFonts w:hAnsi="Calibri"/>
        </w:rPr>
        <w:t>Total Annu</w:t>
      </w:r>
      <w:r w:rsidR="001531F2">
        <w:rPr>
          <w:rFonts w:hAnsi="Calibri"/>
        </w:rPr>
        <w:t>a</w:t>
      </w:r>
      <w:r>
        <w:rPr>
          <w:rFonts w:hAnsi="Calibri"/>
        </w:rPr>
        <w:t xml:space="preserve">l Cost of the scrubber upgrade would be about $16.5 million and remove an additional 395 tons of </w:t>
      </w:r>
      <w:r w:rsidR="00D6102A" w:rsidRPr="008303E0">
        <w:t>SO</w:t>
      </w:r>
      <w:r w:rsidR="00D6102A" w:rsidRPr="00D6102A">
        <w:rPr>
          <w:vertAlign w:val="subscript"/>
        </w:rPr>
        <w:t>2</w:t>
      </w:r>
      <w:r>
        <w:rPr>
          <w:rFonts w:hAnsi="Calibri"/>
        </w:rPr>
        <w:t xml:space="preserve"> per year</w:t>
      </w:r>
      <w:r w:rsidR="00863ED9">
        <w:rPr>
          <w:rFonts w:hAnsi="Calibri"/>
        </w:rPr>
        <w:t xml:space="preserve">.  </w:t>
      </w:r>
      <w:r>
        <w:rPr>
          <w:rFonts w:hAnsi="Calibri"/>
        </w:rPr>
        <w:t xml:space="preserve">The cost-effectiveness of the upgrade </w:t>
      </w:r>
      <w:r w:rsidR="003F19E3">
        <w:rPr>
          <w:rFonts w:hAnsi="Calibri"/>
        </w:rPr>
        <w:t xml:space="preserve">($21,534/ton) </w:t>
      </w:r>
      <w:r>
        <w:rPr>
          <w:rFonts w:hAnsi="Calibri"/>
        </w:rPr>
        <w:t xml:space="preserve">would </w:t>
      </w:r>
      <w:r w:rsidR="003F19E3">
        <w:rPr>
          <w:rFonts w:hAnsi="Calibri"/>
        </w:rPr>
        <w:t>more than double the NDEP threshold, making further analysis unnecessary.</w:t>
      </w:r>
    </w:p>
    <w:p w14:paraId="6574E440" w14:textId="2A66EED8" w:rsidR="00106EA1" w:rsidRPr="008B490A" w:rsidRDefault="00187B7F" w:rsidP="008B490A">
      <w:pPr>
        <w:pStyle w:val="Heading2"/>
      </w:pPr>
      <w:bookmarkStart w:id="19" w:name="_Toc109058122"/>
      <w:r w:rsidRPr="008B490A">
        <w:t>NO</w:t>
      </w:r>
      <w:r w:rsidRPr="008B490A">
        <w:rPr>
          <w:vertAlign w:val="subscript"/>
        </w:rPr>
        <w:t>x</w:t>
      </w:r>
      <w:r w:rsidR="00106EA1" w:rsidRPr="008B490A">
        <w:t xml:space="preserve"> </w:t>
      </w:r>
      <w:r w:rsidR="002D4105" w:rsidRPr="008B490A">
        <w:t>– Cost of Compliance</w:t>
      </w:r>
      <w:bookmarkEnd w:id="19"/>
    </w:p>
    <w:p w14:paraId="09FA71B0" w14:textId="108D39CA" w:rsidR="009663E6" w:rsidRDefault="00933DEA" w:rsidP="00D56B46">
      <w:pPr>
        <w:contextualSpacing/>
      </w:pPr>
      <w:r>
        <w:t>The NPS</w:t>
      </w:r>
      <w:r w:rsidR="009663E6" w:rsidRPr="00457B98">
        <w:t xml:space="preserve"> applied the 2021 version of EPA’s </w:t>
      </w:r>
      <w:r w:rsidR="001C7EA0">
        <w:t>C</w:t>
      </w:r>
      <w:r w:rsidR="00C17FF5">
        <w:t>CM</w:t>
      </w:r>
      <w:r w:rsidR="009663E6" w:rsidRPr="00457B98">
        <w:t xml:space="preserve"> for SNCR </w:t>
      </w:r>
      <w:r w:rsidR="00457B98">
        <w:t xml:space="preserve">(with the 2021 </w:t>
      </w:r>
      <w:r w:rsidR="00ED2570">
        <w:t>Chemical Engineering Plant Cost Index = 776.3</w:t>
      </w:r>
      <w:r w:rsidR="00457B98">
        <w:t xml:space="preserve">) </w:t>
      </w:r>
      <w:r w:rsidR="009663E6" w:rsidRPr="00457B98">
        <w:t xml:space="preserve">and </w:t>
      </w:r>
      <w:r w:rsidR="002D2BA2">
        <w:t>the</w:t>
      </w:r>
      <w:r w:rsidR="009663E6" w:rsidRPr="00457B98">
        <w:t xml:space="preserve"> results are shown below</w:t>
      </w:r>
      <w:r w:rsidR="00863ED9">
        <w:t xml:space="preserve">.  </w:t>
      </w:r>
      <w:r w:rsidR="009663E6" w:rsidRPr="00457B98">
        <w:t xml:space="preserve">Due to the assumption of a </w:t>
      </w:r>
      <w:r w:rsidR="00457B98" w:rsidRPr="00457B98">
        <w:t>four</w:t>
      </w:r>
      <w:r w:rsidR="009663E6" w:rsidRPr="00457B98">
        <w:t>-year remaining useful life, capital recovery costs dominate the analyses</w:t>
      </w:r>
      <w:r w:rsidR="00863ED9">
        <w:t xml:space="preserve">.  </w:t>
      </w:r>
      <w:r w:rsidR="005D3150" w:rsidRPr="00457B98">
        <w:t>The cost-effectiveness</w:t>
      </w:r>
      <w:r w:rsidR="00244F62" w:rsidRPr="00457B98">
        <w:t xml:space="preserve"> for SNCR at North Valmy</w:t>
      </w:r>
      <w:r w:rsidR="005D3150" w:rsidRPr="00457B98">
        <w:t xml:space="preserve"> </w:t>
      </w:r>
      <w:r w:rsidR="004148B7" w:rsidRPr="00457B98">
        <w:t>is outside the threshold set by NDEP for this round of regional haze planning.</w:t>
      </w:r>
    </w:p>
    <w:p w14:paraId="748F543F" w14:textId="77777777" w:rsidR="00267F0A" w:rsidRPr="00457B98" w:rsidRDefault="00267F0A" w:rsidP="00D56B46">
      <w:pPr>
        <w:contextualSpacing/>
      </w:pPr>
    </w:p>
    <w:p w14:paraId="6ADB7686" w14:textId="14EEB774" w:rsidR="00244F62" w:rsidRPr="00457B98" w:rsidRDefault="00A53A98" w:rsidP="00D56B46">
      <w:pPr>
        <w:pStyle w:val="Caption"/>
        <w:contextualSpacing/>
        <w:rPr>
          <w:rFonts w:cs="Times New Roman"/>
        </w:rPr>
      </w:pPr>
      <w:r w:rsidRPr="00457B98">
        <w:rPr>
          <w:rFonts w:cs="Times New Roman"/>
        </w:rPr>
        <w:t xml:space="preserve">Table </w:t>
      </w:r>
      <w:r w:rsidR="0083515B" w:rsidRPr="00457B98">
        <w:rPr>
          <w:rFonts w:cs="Times New Roman"/>
        </w:rPr>
        <w:fldChar w:fldCharType="begin"/>
      </w:r>
      <w:r w:rsidR="0083515B" w:rsidRPr="00457B98">
        <w:rPr>
          <w:rFonts w:cs="Times New Roman"/>
        </w:rPr>
        <w:instrText xml:space="preserve"> SEQ Table \* ARABIC </w:instrText>
      </w:r>
      <w:r w:rsidR="0083515B" w:rsidRPr="00457B98">
        <w:rPr>
          <w:rFonts w:cs="Times New Roman"/>
        </w:rPr>
        <w:fldChar w:fldCharType="separate"/>
      </w:r>
      <w:r w:rsidRPr="00457B98">
        <w:rPr>
          <w:rFonts w:cs="Times New Roman"/>
          <w:noProof/>
        </w:rPr>
        <w:t>3</w:t>
      </w:r>
      <w:r w:rsidR="0083515B" w:rsidRPr="00457B98">
        <w:rPr>
          <w:rFonts w:cs="Times New Roman"/>
          <w:noProof/>
        </w:rPr>
        <w:fldChar w:fldCharType="end"/>
      </w:r>
      <w:r w:rsidR="00863ED9">
        <w:rPr>
          <w:rFonts w:cs="Times New Roman"/>
        </w:rPr>
        <w:t xml:space="preserve">.  </w:t>
      </w:r>
      <w:r w:rsidRPr="00457B98">
        <w:rPr>
          <w:rFonts w:cs="Times New Roman"/>
        </w:rPr>
        <w:t>SNCR Control Cost Estimates for North Valmy Units 1 &amp; 2</w:t>
      </w:r>
    </w:p>
    <w:tbl>
      <w:tblPr>
        <w:tblW w:w="5000" w:type="pct"/>
        <w:tblLook w:val="04A0" w:firstRow="1" w:lastRow="0" w:firstColumn="1" w:lastColumn="0" w:noHBand="0" w:noVBand="1"/>
      </w:tblPr>
      <w:tblGrid>
        <w:gridCol w:w="3619"/>
        <w:gridCol w:w="2050"/>
        <w:gridCol w:w="2259"/>
        <w:gridCol w:w="1412"/>
      </w:tblGrid>
      <w:tr w:rsidR="00457B98" w:rsidRPr="00457B98" w14:paraId="56D04AEA" w14:textId="77777777" w:rsidTr="00457B98">
        <w:trPr>
          <w:trHeight w:val="320"/>
        </w:trPr>
        <w:tc>
          <w:tcPr>
            <w:tcW w:w="1937"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97A0E5" w14:textId="77777777" w:rsidR="00457B98" w:rsidRPr="00457B98" w:rsidRDefault="00457B98" w:rsidP="00D56B46">
            <w:pPr>
              <w:contextualSpacing/>
              <w:jc w:val="center"/>
              <w:rPr>
                <w:color w:val="000000"/>
                <w:sz w:val="20"/>
                <w:szCs w:val="20"/>
              </w:rPr>
            </w:pPr>
            <w:r w:rsidRPr="00457B98">
              <w:rPr>
                <w:color w:val="000000"/>
                <w:sz w:val="20"/>
                <w:szCs w:val="20"/>
              </w:rPr>
              <w:t>Unit</w:t>
            </w:r>
          </w:p>
        </w:tc>
        <w:tc>
          <w:tcPr>
            <w:tcW w:w="1097" w:type="pct"/>
            <w:tcBorders>
              <w:top w:val="single" w:sz="8" w:space="0" w:color="auto"/>
              <w:left w:val="nil"/>
              <w:bottom w:val="single" w:sz="8" w:space="0" w:color="auto"/>
              <w:right w:val="single" w:sz="8" w:space="0" w:color="auto"/>
            </w:tcBorders>
            <w:shd w:val="clear" w:color="auto" w:fill="auto"/>
            <w:noWrap/>
            <w:vAlign w:val="center"/>
            <w:hideMark/>
          </w:tcPr>
          <w:p w14:paraId="1B0467F5" w14:textId="77777777" w:rsidR="00457B98" w:rsidRPr="00457B98" w:rsidRDefault="00457B98" w:rsidP="00D56B46">
            <w:pPr>
              <w:contextualSpacing/>
              <w:jc w:val="center"/>
              <w:rPr>
                <w:color w:val="000000"/>
                <w:sz w:val="20"/>
                <w:szCs w:val="20"/>
              </w:rPr>
            </w:pPr>
            <w:r w:rsidRPr="00457B98">
              <w:rPr>
                <w:color w:val="000000"/>
                <w:sz w:val="20"/>
                <w:szCs w:val="20"/>
              </w:rPr>
              <w:t>N Valmy 1</w:t>
            </w:r>
          </w:p>
        </w:tc>
        <w:tc>
          <w:tcPr>
            <w:tcW w:w="1209" w:type="pct"/>
            <w:tcBorders>
              <w:top w:val="single" w:sz="8" w:space="0" w:color="auto"/>
              <w:left w:val="nil"/>
              <w:bottom w:val="single" w:sz="8" w:space="0" w:color="auto"/>
              <w:right w:val="single" w:sz="8" w:space="0" w:color="auto"/>
            </w:tcBorders>
            <w:shd w:val="clear" w:color="auto" w:fill="auto"/>
            <w:noWrap/>
            <w:vAlign w:val="center"/>
            <w:hideMark/>
          </w:tcPr>
          <w:p w14:paraId="1314D1BC" w14:textId="77777777" w:rsidR="00457B98" w:rsidRPr="00457B98" w:rsidRDefault="00457B98" w:rsidP="00D56B46">
            <w:pPr>
              <w:contextualSpacing/>
              <w:jc w:val="center"/>
              <w:rPr>
                <w:color w:val="000000"/>
                <w:sz w:val="20"/>
                <w:szCs w:val="20"/>
              </w:rPr>
            </w:pPr>
            <w:r w:rsidRPr="00457B98">
              <w:rPr>
                <w:color w:val="000000"/>
                <w:sz w:val="20"/>
                <w:szCs w:val="20"/>
              </w:rPr>
              <w:t>N Valmy 2</w:t>
            </w:r>
          </w:p>
        </w:tc>
        <w:tc>
          <w:tcPr>
            <w:tcW w:w="756" w:type="pct"/>
            <w:tcBorders>
              <w:top w:val="single" w:sz="8" w:space="0" w:color="auto"/>
              <w:left w:val="nil"/>
              <w:bottom w:val="single" w:sz="8" w:space="0" w:color="auto"/>
              <w:right w:val="single" w:sz="8" w:space="0" w:color="auto"/>
            </w:tcBorders>
            <w:shd w:val="clear" w:color="auto" w:fill="auto"/>
            <w:noWrap/>
            <w:vAlign w:val="center"/>
            <w:hideMark/>
          </w:tcPr>
          <w:p w14:paraId="20BEE7D3" w14:textId="2B244B7D" w:rsidR="00457B98" w:rsidRPr="00457B98" w:rsidRDefault="00457B98" w:rsidP="00D56B46">
            <w:pPr>
              <w:contextualSpacing/>
              <w:jc w:val="center"/>
              <w:rPr>
                <w:color w:val="000000"/>
                <w:sz w:val="20"/>
                <w:szCs w:val="20"/>
              </w:rPr>
            </w:pPr>
          </w:p>
        </w:tc>
      </w:tr>
      <w:tr w:rsidR="00457B98" w:rsidRPr="00457B98" w14:paraId="1FF6DF58" w14:textId="77777777" w:rsidTr="00457B98">
        <w:trPr>
          <w:trHeight w:val="320"/>
        </w:trPr>
        <w:tc>
          <w:tcPr>
            <w:tcW w:w="1937" w:type="pct"/>
            <w:tcBorders>
              <w:top w:val="nil"/>
              <w:left w:val="single" w:sz="8" w:space="0" w:color="auto"/>
              <w:bottom w:val="single" w:sz="8" w:space="0" w:color="auto"/>
              <w:right w:val="single" w:sz="8" w:space="0" w:color="auto"/>
            </w:tcBorders>
            <w:shd w:val="clear" w:color="auto" w:fill="auto"/>
            <w:noWrap/>
            <w:vAlign w:val="center"/>
            <w:hideMark/>
          </w:tcPr>
          <w:p w14:paraId="0FD6D4DE" w14:textId="77777777" w:rsidR="00457B98" w:rsidRPr="00457B98" w:rsidRDefault="00457B98" w:rsidP="00D56B46">
            <w:pPr>
              <w:contextualSpacing/>
              <w:jc w:val="center"/>
              <w:rPr>
                <w:color w:val="000000"/>
                <w:sz w:val="20"/>
                <w:szCs w:val="20"/>
              </w:rPr>
            </w:pPr>
            <w:r w:rsidRPr="00457B98">
              <w:rPr>
                <w:color w:val="000000"/>
                <w:sz w:val="20"/>
                <w:szCs w:val="20"/>
              </w:rPr>
              <w:t>Total Capital Investment</w:t>
            </w:r>
          </w:p>
        </w:tc>
        <w:tc>
          <w:tcPr>
            <w:tcW w:w="1097" w:type="pct"/>
            <w:tcBorders>
              <w:top w:val="nil"/>
              <w:left w:val="nil"/>
              <w:bottom w:val="single" w:sz="8" w:space="0" w:color="auto"/>
              <w:right w:val="single" w:sz="8" w:space="0" w:color="auto"/>
            </w:tcBorders>
            <w:shd w:val="clear" w:color="auto" w:fill="auto"/>
            <w:noWrap/>
            <w:vAlign w:val="center"/>
            <w:hideMark/>
          </w:tcPr>
          <w:p w14:paraId="3FB104AB" w14:textId="2A70C74A" w:rsidR="00457B98" w:rsidRPr="00457B98" w:rsidRDefault="00457B98" w:rsidP="00D56B46">
            <w:pPr>
              <w:contextualSpacing/>
              <w:jc w:val="center"/>
              <w:rPr>
                <w:color w:val="000000"/>
                <w:sz w:val="20"/>
                <w:szCs w:val="20"/>
              </w:rPr>
            </w:pPr>
            <w:r w:rsidRPr="00457B98">
              <w:rPr>
                <w:color w:val="000000"/>
                <w:sz w:val="20"/>
                <w:szCs w:val="20"/>
              </w:rPr>
              <w:t>$11,677,729</w:t>
            </w:r>
          </w:p>
        </w:tc>
        <w:tc>
          <w:tcPr>
            <w:tcW w:w="1209" w:type="pct"/>
            <w:tcBorders>
              <w:top w:val="nil"/>
              <w:left w:val="nil"/>
              <w:bottom w:val="single" w:sz="8" w:space="0" w:color="auto"/>
              <w:right w:val="single" w:sz="8" w:space="0" w:color="auto"/>
            </w:tcBorders>
            <w:shd w:val="clear" w:color="auto" w:fill="auto"/>
            <w:noWrap/>
            <w:vAlign w:val="center"/>
            <w:hideMark/>
          </w:tcPr>
          <w:p w14:paraId="050CDA8F" w14:textId="439A234C" w:rsidR="00457B98" w:rsidRPr="00457B98" w:rsidRDefault="00457B98" w:rsidP="00D56B46">
            <w:pPr>
              <w:contextualSpacing/>
              <w:jc w:val="center"/>
              <w:rPr>
                <w:color w:val="000000"/>
                <w:sz w:val="20"/>
                <w:szCs w:val="20"/>
              </w:rPr>
            </w:pPr>
            <w:r w:rsidRPr="00457B98">
              <w:rPr>
                <w:color w:val="000000"/>
                <w:sz w:val="20"/>
                <w:szCs w:val="20"/>
              </w:rPr>
              <w:t>$11,998,813</w:t>
            </w:r>
          </w:p>
        </w:tc>
        <w:tc>
          <w:tcPr>
            <w:tcW w:w="756" w:type="pct"/>
            <w:tcBorders>
              <w:top w:val="nil"/>
              <w:left w:val="nil"/>
              <w:bottom w:val="single" w:sz="8" w:space="0" w:color="auto"/>
              <w:right w:val="single" w:sz="8" w:space="0" w:color="auto"/>
            </w:tcBorders>
            <w:shd w:val="clear" w:color="auto" w:fill="auto"/>
            <w:noWrap/>
            <w:vAlign w:val="center"/>
            <w:hideMark/>
          </w:tcPr>
          <w:p w14:paraId="59294989" w14:textId="77777777" w:rsidR="00457B98" w:rsidRPr="00457B98" w:rsidRDefault="00457B98" w:rsidP="00D56B46">
            <w:pPr>
              <w:contextualSpacing/>
              <w:jc w:val="center"/>
              <w:rPr>
                <w:color w:val="000000"/>
                <w:sz w:val="20"/>
                <w:szCs w:val="20"/>
              </w:rPr>
            </w:pPr>
            <w:r w:rsidRPr="00457B98">
              <w:rPr>
                <w:color w:val="000000"/>
                <w:sz w:val="20"/>
                <w:szCs w:val="20"/>
              </w:rPr>
              <w:t>(2021$)</w:t>
            </w:r>
          </w:p>
        </w:tc>
      </w:tr>
      <w:tr w:rsidR="00457B98" w:rsidRPr="00457B98" w14:paraId="3192A9A7" w14:textId="77777777" w:rsidTr="00457B98">
        <w:trPr>
          <w:trHeight w:val="320"/>
        </w:trPr>
        <w:tc>
          <w:tcPr>
            <w:tcW w:w="1937" w:type="pct"/>
            <w:tcBorders>
              <w:top w:val="nil"/>
              <w:left w:val="single" w:sz="8" w:space="0" w:color="auto"/>
              <w:bottom w:val="single" w:sz="8" w:space="0" w:color="auto"/>
              <w:right w:val="single" w:sz="8" w:space="0" w:color="auto"/>
            </w:tcBorders>
            <w:shd w:val="clear" w:color="auto" w:fill="auto"/>
            <w:noWrap/>
            <w:vAlign w:val="center"/>
            <w:hideMark/>
          </w:tcPr>
          <w:p w14:paraId="5CE2ECE3" w14:textId="77777777" w:rsidR="00457B98" w:rsidRPr="00457B98" w:rsidRDefault="00457B98" w:rsidP="00D56B46">
            <w:pPr>
              <w:contextualSpacing/>
              <w:jc w:val="center"/>
              <w:rPr>
                <w:color w:val="000000"/>
                <w:sz w:val="20"/>
                <w:szCs w:val="20"/>
              </w:rPr>
            </w:pPr>
            <w:r w:rsidRPr="00457B98">
              <w:rPr>
                <w:color w:val="000000"/>
                <w:sz w:val="20"/>
                <w:szCs w:val="20"/>
              </w:rPr>
              <w:t>Capital Recovery Cost</w:t>
            </w:r>
          </w:p>
        </w:tc>
        <w:tc>
          <w:tcPr>
            <w:tcW w:w="1097" w:type="pct"/>
            <w:tcBorders>
              <w:top w:val="nil"/>
              <w:left w:val="nil"/>
              <w:bottom w:val="single" w:sz="8" w:space="0" w:color="auto"/>
              <w:right w:val="single" w:sz="8" w:space="0" w:color="auto"/>
            </w:tcBorders>
            <w:shd w:val="clear" w:color="auto" w:fill="auto"/>
            <w:noWrap/>
            <w:vAlign w:val="center"/>
            <w:hideMark/>
          </w:tcPr>
          <w:p w14:paraId="08A6A9F8" w14:textId="0B48E40B" w:rsidR="00457B98" w:rsidRPr="00457B98" w:rsidRDefault="00457B98" w:rsidP="00D56B46">
            <w:pPr>
              <w:contextualSpacing/>
              <w:jc w:val="center"/>
              <w:rPr>
                <w:color w:val="000000"/>
                <w:sz w:val="20"/>
                <w:szCs w:val="20"/>
              </w:rPr>
            </w:pPr>
            <w:r w:rsidRPr="00457B98">
              <w:rPr>
                <w:color w:val="000000"/>
                <w:sz w:val="20"/>
                <w:szCs w:val="20"/>
              </w:rPr>
              <w:t>$3,428,581</w:t>
            </w:r>
          </w:p>
        </w:tc>
        <w:tc>
          <w:tcPr>
            <w:tcW w:w="1209" w:type="pct"/>
            <w:tcBorders>
              <w:top w:val="nil"/>
              <w:left w:val="nil"/>
              <w:bottom w:val="single" w:sz="8" w:space="0" w:color="auto"/>
              <w:right w:val="single" w:sz="8" w:space="0" w:color="auto"/>
            </w:tcBorders>
            <w:shd w:val="clear" w:color="auto" w:fill="auto"/>
            <w:noWrap/>
            <w:vAlign w:val="center"/>
            <w:hideMark/>
          </w:tcPr>
          <w:p w14:paraId="7CD338FA" w14:textId="06612DC6" w:rsidR="00457B98" w:rsidRPr="00457B98" w:rsidRDefault="00457B98" w:rsidP="00D56B46">
            <w:pPr>
              <w:contextualSpacing/>
              <w:jc w:val="center"/>
              <w:rPr>
                <w:color w:val="000000"/>
                <w:sz w:val="20"/>
                <w:szCs w:val="20"/>
              </w:rPr>
            </w:pPr>
            <w:r w:rsidRPr="00457B98">
              <w:rPr>
                <w:color w:val="000000"/>
                <w:sz w:val="20"/>
                <w:szCs w:val="20"/>
              </w:rPr>
              <w:t>$3,522,852</w:t>
            </w:r>
          </w:p>
        </w:tc>
        <w:tc>
          <w:tcPr>
            <w:tcW w:w="756" w:type="pct"/>
            <w:tcBorders>
              <w:top w:val="nil"/>
              <w:left w:val="nil"/>
              <w:bottom w:val="single" w:sz="8" w:space="0" w:color="auto"/>
              <w:right w:val="single" w:sz="8" w:space="0" w:color="auto"/>
            </w:tcBorders>
            <w:shd w:val="clear" w:color="auto" w:fill="auto"/>
            <w:noWrap/>
            <w:vAlign w:val="center"/>
            <w:hideMark/>
          </w:tcPr>
          <w:p w14:paraId="4E3DBD44" w14:textId="77777777" w:rsidR="00457B98" w:rsidRPr="00457B98" w:rsidRDefault="00457B98" w:rsidP="00D56B46">
            <w:pPr>
              <w:contextualSpacing/>
              <w:jc w:val="center"/>
              <w:rPr>
                <w:color w:val="000000"/>
                <w:sz w:val="20"/>
                <w:szCs w:val="20"/>
              </w:rPr>
            </w:pPr>
            <w:r w:rsidRPr="00457B98">
              <w:rPr>
                <w:color w:val="000000"/>
                <w:sz w:val="20"/>
                <w:szCs w:val="20"/>
              </w:rPr>
              <w:t>/</w:t>
            </w:r>
            <w:proofErr w:type="spellStart"/>
            <w:proofErr w:type="gramStart"/>
            <w:r w:rsidRPr="00457B98">
              <w:rPr>
                <w:color w:val="000000"/>
                <w:sz w:val="20"/>
                <w:szCs w:val="20"/>
              </w:rPr>
              <w:t>yr</w:t>
            </w:r>
            <w:proofErr w:type="spellEnd"/>
            <w:proofErr w:type="gramEnd"/>
          </w:p>
        </w:tc>
      </w:tr>
      <w:tr w:rsidR="00457B98" w:rsidRPr="00457B98" w14:paraId="7CC5C109" w14:textId="77777777" w:rsidTr="00457B98">
        <w:trPr>
          <w:trHeight w:val="320"/>
        </w:trPr>
        <w:tc>
          <w:tcPr>
            <w:tcW w:w="1937" w:type="pct"/>
            <w:tcBorders>
              <w:top w:val="nil"/>
              <w:left w:val="single" w:sz="8" w:space="0" w:color="auto"/>
              <w:bottom w:val="single" w:sz="8" w:space="0" w:color="auto"/>
              <w:right w:val="single" w:sz="8" w:space="0" w:color="auto"/>
            </w:tcBorders>
            <w:shd w:val="clear" w:color="auto" w:fill="auto"/>
            <w:noWrap/>
            <w:vAlign w:val="center"/>
            <w:hideMark/>
          </w:tcPr>
          <w:p w14:paraId="62833E3D" w14:textId="77777777" w:rsidR="00457B98" w:rsidRPr="00457B98" w:rsidRDefault="00457B98" w:rsidP="00D56B46">
            <w:pPr>
              <w:contextualSpacing/>
              <w:jc w:val="center"/>
              <w:rPr>
                <w:color w:val="000000"/>
                <w:sz w:val="20"/>
                <w:szCs w:val="20"/>
              </w:rPr>
            </w:pPr>
            <w:r w:rsidRPr="00457B98">
              <w:rPr>
                <w:color w:val="000000"/>
                <w:sz w:val="20"/>
                <w:szCs w:val="20"/>
              </w:rPr>
              <w:t>Direct Annual Cost</w:t>
            </w:r>
          </w:p>
        </w:tc>
        <w:tc>
          <w:tcPr>
            <w:tcW w:w="1097" w:type="pct"/>
            <w:tcBorders>
              <w:top w:val="nil"/>
              <w:left w:val="nil"/>
              <w:bottom w:val="single" w:sz="8" w:space="0" w:color="auto"/>
              <w:right w:val="single" w:sz="8" w:space="0" w:color="auto"/>
            </w:tcBorders>
            <w:shd w:val="clear" w:color="auto" w:fill="auto"/>
            <w:noWrap/>
            <w:vAlign w:val="center"/>
            <w:hideMark/>
          </w:tcPr>
          <w:p w14:paraId="5FF78A71" w14:textId="5925CC1C" w:rsidR="00457B98" w:rsidRPr="00457B98" w:rsidRDefault="00457B98" w:rsidP="00D56B46">
            <w:pPr>
              <w:contextualSpacing/>
              <w:jc w:val="center"/>
              <w:rPr>
                <w:color w:val="000000"/>
                <w:sz w:val="20"/>
                <w:szCs w:val="20"/>
              </w:rPr>
            </w:pPr>
            <w:r w:rsidRPr="00457B98">
              <w:rPr>
                <w:color w:val="000000"/>
                <w:sz w:val="20"/>
                <w:szCs w:val="20"/>
              </w:rPr>
              <w:t>$694,059</w:t>
            </w:r>
          </w:p>
        </w:tc>
        <w:tc>
          <w:tcPr>
            <w:tcW w:w="1209" w:type="pct"/>
            <w:tcBorders>
              <w:top w:val="nil"/>
              <w:left w:val="nil"/>
              <w:bottom w:val="single" w:sz="8" w:space="0" w:color="auto"/>
              <w:right w:val="single" w:sz="8" w:space="0" w:color="auto"/>
            </w:tcBorders>
            <w:shd w:val="clear" w:color="auto" w:fill="auto"/>
            <w:noWrap/>
            <w:vAlign w:val="center"/>
            <w:hideMark/>
          </w:tcPr>
          <w:p w14:paraId="3686FA8D" w14:textId="1A143D71" w:rsidR="00457B98" w:rsidRPr="00457B98" w:rsidRDefault="00457B98" w:rsidP="00D56B46">
            <w:pPr>
              <w:contextualSpacing/>
              <w:jc w:val="center"/>
              <w:rPr>
                <w:color w:val="000000"/>
                <w:sz w:val="20"/>
                <w:szCs w:val="20"/>
              </w:rPr>
            </w:pPr>
            <w:r w:rsidRPr="00457B98">
              <w:rPr>
                <w:color w:val="000000"/>
                <w:sz w:val="20"/>
                <w:szCs w:val="20"/>
              </w:rPr>
              <w:t>$971,255</w:t>
            </w:r>
          </w:p>
        </w:tc>
        <w:tc>
          <w:tcPr>
            <w:tcW w:w="756" w:type="pct"/>
            <w:tcBorders>
              <w:top w:val="nil"/>
              <w:left w:val="nil"/>
              <w:bottom w:val="single" w:sz="8" w:space="0" w:color="auto"/>
              <w:right w:val="single" w:sz="8" w:space="0" w:color="auto"/>
            </w:tcBorders>
            <w:shd w:val="clear" w:color="auto" w:fill="auto"/>
            <w:noWrap/>
            <w:vAlign w:val="center"/>
            <w:hideMark/>
          </w:tcPr>
          <w:p w14:paraId="7346C378" w14:textId="77777777" w:rsidR="00457B98" w:rsidRPr="00457B98" w:rsidRDefault="00457B98" w:rsidP="00D56B46">
            <w:pPr>
              <w:contextualSpacing/>
              <w:jc w:val="center"/>
              <w:rPr>
                <w:color w:val="000000"/>
                <w:sz w:val="20"/>
                <w:szCs w:val="20"/>
              </w:rPr>
            </w:pPr>
            <w:r w:rsidRPr="00457B98">
              <w:rPr>
                <w:color w:val="000000"/>
                <w:sz w:val="20"/>
                <w:szCs w:val="20"/>
              </w:rPr>
              <w:t>/</w:t>
            </w:r>
            <w:proofErr w:type="spellStart"/>
            <w:proofErr w:type="gramStart"/>
            <w:r w:rsidRPr="00457B98">
              <w:rPr>
                <w:color w:val="000000"/>
                <w:sz w:val="20"/>
                <w:szCs w:val="20"/>
              </w:rPr>
              <w:t>yr</w:t>
            </w:r>
            <w:proofErr w:type="spellEnd"/>
            <w:proofErr w:type="gramEnd"/>
          </w:p>
        </w:tc>
      </w:tr>
      <w:tr w:rsidR="00457B98" w:rsidRPr="00457B98" w14:paraId="43D7FA0E" w14:textId="77777777" w:rsidTr="00457B98">
        <w:trPr>
          <w:trHeight w:val="320"/>
        </w:trPr>
        <w:tc>
          <w:tcPr>
            <w:tcW w:w="1937" w:type="pct"/>
            <w:tcBorders>
              <w:top w:val="nil"/>
              <w:left w:val="single" w:sz="8" w:space="0" w:color="auto"/>
              <w:bottom w:val="single" w:sz="8" w:space="0" w:color="auto"/>
              <w:right w:val="single" w:sz="8" w:space="0" w:color="auto"/>
            </w:tcBorders>
            <w:shd w:val="clear" w:color="auto" w:fill="auto"/>
            <w:noWrap/>
            <w:vAlign w:val="center"/>
            <w:hideMark/>
          </w:tcPr>
          <w:p w14:paraId="498B6C95" w14:textId="77777777" w:rsidR="00457B98" w:rsidRPr="00457B98" w:rsidRDefault="00457B98" w:rsidP="00D56B46">
            <w:pPr>
              <w:contextualSpacing/>
              <w:jc w:val="center"/>
              <w:rPr>
                <w:color w:val="000000"/>
                <w:sz w:val="20"/>
                <w:szCs w:val="20"/>
              </w:rPr>
            </w:pPr>
            <w:r w:rsidRPr="00457B98">
              <w:rPr>
                <w:color w:val="000000"/>
                <w:sz w:val="20"/>
                <w:szCs w:val="20"/>
              </w:rPr>
              <w:t>Total Annual Cost</w:t>
            </w:r>
          </w:p>
        </w:tc>
        <w:tc>
          <w:tcPr>
            <w:tcW w:w="1097" w:type="pct"/>
            <w:tcBorders>
              <w:top w:val="nil"/>
              <w:left w:val="nil"/>
              <w:bottom w:val="single" w:sz="8" w:space="0" w:color="auto"/>
              <w:right w:val="single" w:sz="8" w:space="0" w:color="auto"/>
            </w:tcBorders>
            <w:shd w:val="clear" w:color="auto" w:fill="auto"/>
            <w:noWrap/>
            <w:vAlign w:val="center"/>
            <w:hideMark/>
          </w:tcPr>
          <w:p w14:paraId="04D162C7" w14:textId="1585E7C7" w:rsidR="00457B98" w:rsidRPr="00457B98" w:rsidRDefault="00457B98" w:rsidP="00D56B46">
            <w:pPr>
              <w:contextualSpacing/>
              <w:jc w:val="center"/>
              <w:rPr>
                <w:color w:val="000000"/>
                <w:sz w:val="20"/>
                <w:szCs w:val="20"/>
              </w:rPr>
            </w:pPr>
            <w:r w:rsidRPr="00457B98">
              <w:rPr>
                <w:color w:val="000000"/>
                <w:sz w:val="20"/>
                <w:szCs w:val="20"/>
              </w:rPr>
              <w:t>$4,127,895</w:t>
            </w:r>
          </w:p>
        </w:tc>
        <w:tc>
          <w:tcPr>
            <w:tcW w:w="1209" w:type="pct"/>
            <w:tcBorders>
              <w:top w:val="nil"/>
              <w:left w:val="nil"/>
              <w:bottom w:val="single" w:sz="8" w:space="0" w:color="auto"/>
              <w:right w:val="single" w:sz="8" w:space="0" w:color="auto"/>
            </w:tcBorders>
            <w:shd w:val="clear" w:color="auto" w:fill="auto"/>
            <w:noWrap/>
            <w:vAlign w:val="center"/>
            <w:hideMark/>
          </w:tcPr>
          <w:p w14:paraId="6FC72D2E" w14:textId="4D197AF5" w:rsidR="00457B98" w:rsidRPr="00457B98" w:rsidRDefault="00457B98" w:rsidP="00D56B46">
            <w:pPr>
              <w:contextualSpacing/>
              <w:jc w:val="center"/>
              <w:rPr>
                <w:color w:val="000000"/>
                <w:sz w:val="20"/>
                <w:szCs w:val="20"/>
              </w:rPr>
            </w:pPr>
            <w:r w:rsidRPr="00457B98">
              <w:rPr>
                <w:color w:val="000000"/>
                <w:sz w:val="20"/>
                <w:szCs w:val="20"/>
              </w:rPr>
              <w:t>$4,499,506</w:t>
            </w:r>
          </w:p>
        </w:tc>
        <w:tc>
          <w:tcPr>
            <w:tcW w:w="756" w:type="pct"/>
            <w:tcBorders>
              <w:top w:val="nil"/>
              <w:left w:val="nil"/>
              <w:bottom w:val="single" w:sz="8" w:space="0" w:color="auto"/>
              <w:right w:val="single" w:sz="8" w:space="0" w:color="auto"/>
            </w:tcBorders>
            <w:shd w:val="clear" w:color="auto" w:fill="auto"/>
            <w:noWrap/>
            <w:vAlign w:val="center"/>
            <w:hideMark/>
          </w:tcPr>
          <w:p w14:paraId="471D2317" w14:textId="77777777" w:rsidR="00457B98" w:rsidRPr="00457B98" w:rsidRDefault="00457B98" w:rsidP="00D56B46">
            <w:pPr>
              <w:contextualSpacing/>
              <w:jc w:val="center"/>
              <w:rPr>
                <w:color w:val="000000"/>
                <w:sz w:val="20"/>
                <w:szCs w:val="20"/>
              </w:rPr>
            </w:pPr>
            <w:r w:rsidRPr="00457B98">
              <w:rPr>
                <w:color w:val="000000"/>
                <w:sz w:val="20"/>
                <w:szCs w:val="20"/>
              </w:rPr>
              <w:t>/</w:t>
            </w:r>
            <w:proofErr w:type="spellStart"/>
            <w:proofErr w:type="gramStart"/>
            <w:r w:rsidRPr="00457B98">
              <w:rPr>
                <w:color w:val="000000"/>
                <w:sz w:val="20"/>
                <w:szCs w:val="20"/>
              </w:rPr>
              <w:t>yr</w:t>
            </w:r>
            <w:proofErr w:type="spellEnd"/>
            <w:proofErr w:type="gramEnd"/>
          </w:p>
        </w:tc>
      </w:tr>
      <w:tr w:rsidR="00457B98" w:rsidRPr="00457B98" w14:paraId="2BEFBFB6" w14:textId="77777777" w:rsidTr="00457B98">
        <w:trPr>
          <w:trHeight w:val="320"/>
        </w:trPr>
        <w:tc>
          <w:tcPr>
            <w:tcW w:w="1937" w:type="pct"/>
            <w:tcBorders>
              <w:top w:val="nil"/>
              <w:left w:val="single" w:sz="8" w:space="0" w:color="auto"/>
              <w:bottom w:val="single" w:sz="8" w:space="0" w:color="auto"/>
              <w:right w:val="single" w:sz="8" w:space="0" w:color="auto"/>
            </w:tcBorders>
            <w:shd w:val="clear" w:color="auto" w:fill="auto"/>
            <w:noWrap/>
            <w:vAlign w:val="center"/>
            <w:hideMark/>
          </w:tcPr>
          <w:p w14:paraId="4FA0B69D" w14:textId="77777777" w:rsidR="00457B98" w:rsidRPr="00457B98" w:rsidRDefault="00457B98" w:rsidP="00D56B46">
            <w:pPr>
              <w:contextualSpacing/>
              <w:jc w:val="center"/>
              <w:rPr>
                <w:color w:val="000000"/>
                <w:sz w:val="20"/>
                <w:szCs w:val="20"/>
              </w:rPr>
            </w:pPr>
            <w:r w:rsidRPr="00457B98">
              <w:rPr>
                <w:color w:val="000000"/>
                <w:sz w:val="20"/>
                <w:szCs w:val="20"/>
              </w:rPr>
              <w:t>Uncontrolled NO</w:t>
            </w:r>
            <w:r w:rsidRPr="0073626C">
              <w:rPr>
                <w:color w:val="000000"/>
                <w:sz w:val="20"/>
                <w:szCs w:val="20"/>
                <w:vertAlign w:val="subscript"/>
              </w:rPr>
              <w:t>x</w:t>
            </w:r>
          </w:p>
        </w:tc>
        <w:tc>
          <w:tcPr>
            <w:tcW w:w="1097" w:type="pct"/>
            <w:tcBorders>
              <w:top w:val="nil"/>
              <w:left w:val="nil"/>
              <w:bottom w:val="single" w:sz="8" w:space="0" w:color="auto"/>
              <w:right w:val="single" w:sz="8" w:space="0" w:color="auto"/>
            </w:tcBorders>
            <w:shd w:val="clear" w:color="auto" w:fill="auto"/>
            <w:noWrap/>
            <w:vAlign w:val="center"/>
            <w:hideMark/>
          </w:tcPr>
          <w:p w14:paraId="638A8278" w14:textId="77777777" w:rsidR="00457B98" w:rsidRPr="00457B98" w:rsidRDefault="00457B98" w:rsidP="00D56B46">
            <w:pPr>
              <w:contextualSpacing/>
              <w:jc w:val="center"/>
              <w:rPr>
                <w:color w:val="000000"/>
                <w:sz w:val="20"/>
                <w:szCs w:val="20"/>
              </w:rPr>
            </w:pPr>
            <w:r w:rsidRPr="00457B98">
              <w:rPr>
                <w:color w:val="000000"/>
                <w:sz w:val="20"/>
                <w:szCs w:val="20"/>
              </w:rPr>
              <w:t>772</w:t>
            </w:r>
          </w:p>
        </w:tc>
        <w:tc>
          <w:tcPr>
            <w:tcW w:w="1209" w:type="pct"/>
            <w:tcBorders>
              <w:top w:val="nil"/>
              <w:left w:val="nil"/>
              <w:bottom w:val="single" w:sz="8" w:space="0" w:color="auto"/>
              <w:right w:val="single" w:sz="8" w:space="0" w:color="auto"/>
            </w:tcBorders>
            <w:shd w:val="clear" w:color="auto" w:fill="auto"/>
            <w:noWrap/>
            <w:vAlign w:val="center"/>
            <w:hideMark/>
          </w:tcPr>
          <w:p w14:paraId="53BC22D7" w14:textId="77777777" w:rsidR="00457B98" w:rsidRPr="00457B98" w:rsidRDefault="00457B98" w:rsidP="00D56B46">
            <w:pPr>
              <w:contextualSpacing/>
              <w:jc w:val="center"/>
              <w:rPr>
                <w:color w:val="000000"/>
                <w:sz w:val="20"/>
                <w:szCs w:val="20"/>
              </w:rPr>
            </w:pPr>
            <w:r w:rsidRPr="00457B98">
              <w:rPr>
                <w:color w:val="000000"/>
                <w:sz w:val="20"/>
                <w:szCs w:val="20"/>
              </w:rPr>
              <w:t>1,147</w:t>
            </w:r>
          </w:p>
        </w:tc>
        <w:tc>
          <w:tcPr>
            <w:tcW w:w="756" w:type="pct"/>
            <w:tcBorders>
              <w:top w:val="nil"/>
              <w:left w:val="nil"/>
              <w:bottom w:val="single" w:sz="8" w:space="0" w:color="auto"/>
              <w:right w:val="single" w:sz="8" w:space="0" w:color="auto"/>
            </w:tcBorders>
            <w:shd w:val="clear" w:color="auto" w:fill="auto"/>
            <w:noWrap/>
            <w:vAlign w:val="center"/>
            <w:hideMark/>
          </w:tcPr>
          <w:p w14:paraId="7391657F" w14:textId="77777777" w:rsidR="00457B98" w:rsidRPr="00457B98" w:rsidRDefault="00457B98" w:rsidP="00D56B46">
            <w:pPr>
              <w:contextualSpacing/>
              <w:jc w:val="center"/>
              <w:rPr>
                <w:color w:val="000000"/>
                <w:sz w:val="20"/>
                <w:szCs w:val="20"/>
              </w:rPr>
            </w:pPr>
            <w:r w:rsidRPr="00457B98">
              <w:rPr>
                <w:color w:val="000000"/>
                <w:sz w:val="20"/>
                <w:szCs w:val="20"/>
              </w:rPr>
              <w:t>ton/</w:t>
            </w:r>
            <w:proofErr w:type="spellStart"/>
            <w:r w:rsidRPr="00457B98">
              <w:rPr>
                <w:color w:val="000000"/>
                <w:sz w:val="20"/>
                <w:szCs w:val="20"/>
              </w:rPr>
              <w:t>yr</w:t>
            </w:r>
            <w:proofErr w:type="spellEnd"/>
          </w:p>
        </w:tc>
      </w:tr>
      <w:tr w:rsidR="00457B98" w:rsidRPr="00457B98" w14:paraId="307CA599" w14:textId="77777777" w:rsidTr="00457B98">
        <w:trPr>
          <w:trHeight w:val="320"/>
        </w:trPr>
        <w:tc>
          <w:tcPr>
            <w:tcW w:w="1937" w:type="pct"/>
            <w:tcBorders>
              <w:top w:val="nil"/>
              <w:left w:val="single" w:sz="8" w:space="0" w:color="auto"/>
              <w:bottom w:val="single" w:sz="8" w:space="0" w:color="auto"/>
              <w:right w:val="single" w:sz="8" w:space="0" w:color="auto"/>
            </w:tcBorders>
            <w:shd w:val="clear" w:color="auto" w:fill="auto"/>
            <w:noWrap/>
            <w:vAlign w:val="center"/>
            <w:hideMark/>
          </w:tcPr>
          <w:p w14:paraId="279A6549" w14:textId="77777777" w:rsidR="00457B98" w:rsidRPr="00457B98" w:rsidRDefault="00457B98" w:rsidP="00D56B46">
            <w:pPr>
              <w:contextualSpacing/>
              <w:jc w:val="center"/>
              <w:rPr>
                <w:color w:val="000000"/>
                <w:sz w:val="20"/>
                <w:szCs w:val="20"/>
              </w:rPr>
            </w:pPr>
            <w:r w:rsidRPr="00457B98">
              <w:rPr>
                <w:color w:val="000000"/>
                <w:sz w:val="20"/>
                <w:szCs w:val="20"/>
              </w:rPr>
              <w:t>NO</w:t>
            </w:r>
            <w:r w:rsidRPr="0073626C">
              <w:rPr>
                <w:color w:val="000000"/>
                <w:sz w:val="20"/>
                <w:szCs w:val="20"/>
                <w:vertAlign w:val="subscript"/>
              </w:rPr>
              <w:t>x</w:t>
            </w:r>
            <w:r w:rsidRPr="00457B98">
              <w:rPr>
                <w:color w:val="000000"/>
                <w:sz w:val="20"/>
                <w:szCs w:val="20"/>
              </w:rPr>
              <w:t xml:space="preserve"> Removed</w:t>
            </w:r>
          </w:p>
        </w:tc>
        <w:tc>
          <w:tcPr>
            <w:tcW w:w="1097" w:type="pct"/>
            <w:tcBorders>
              <w:top w:val="nil"/>
              <w:left w:val="nil"/>
              <w:bottom w:val="single" w:sz="8" w:space="0" w:color="auto"/>
              <w:right w:val="single" w:sz="8" w:space="0" w:color="auto"/>
            </w:tcBorders>
            <w:shd w:val="clear" w:color="auto" w:fill="auto"/>
            <w:noWrap/>
            <w:vAlign w:val="center"/>
            <w:hideMark/>
          </w:tcPr>
          <w:p w14:paraId="692C75E3" w14:textId="77777777" w:rsidR="00457B98" w:rsidRPr="00457B98" w:rsidRDefault="00457B98" w:rsidP="00D56B46">
            <w:pPr>
              <w:contextualSpacing/>
              <w:jc w:val="center"/>
              <w:rPr>
                <w:color w:val="000000"/>
                <w:sz w:val="20"/>
                <w:szCs w:val="20"/>
              </w:rPr>
            </w:pPr>
            <w:r w:rsidRPr="00457B98">
              <w:rPr>
                <w:color w:val="000000"/>
                <w:sz w:val="20"/>
                <w:szCs w:val="20"/>
              </w:rPr>
              <w:t>184</w:t>
            </w:r>
          </w:p>
        </w:tc>
        <w:tc>
          <w:tcPr>
            <w:tcW w:w="1209" w:type="pct"/>
            <w:tcBorders>
              <w:top w:val="nil"/>
              <w:left w:val="nil"/>
              <w:bottom w:val="single" w:sz="8" w:space="0" w:color="auto"/>
              <w:right w:val="single" w:sz="8" w:space="0" w:color="auto"/>
            </w:tcBorders>
            <w:shd w:val="clear" w:color="auto" w:fill="auto"/>
            <w:noWrap/>
            <w:vAlign w:val="center"/>
            <w:hideMark/>
          </w:tcPr>
          <w:p w14:paraId="69B37388" w14:textId="77777777" w:rsidR="00457B98" w:rsidRPr="00457B98" w:rsidRDefault="00457B98" w:rsidP="00D56B46">
            <w:pPr>
              <w:contextualSpacing/>
              <w:jc w:val="center"/>
              <w:rPr>
                <w:color w:val="000000"/>
                <w:sz w:val="20"/>
                <w:szCs w:val="20"/>
              </w:rPr>
            </w:pPr>
            <w:r w:rsidRPr="00457B98">
              <w:rPr>
                <w:color w:val="000000"/>
                <w:sz w:val="20"/>
                <w:szCs w:val="20"/>
              </w:rPr>
              <w:t>263</w:t>
            </w:r>
          </w:p>
        </w:tc>
        <w:tc>
          <w:tcPr>
            <w:tcW w:w="756" w:type="pct"/>
            <w:tcBorders>
              <w:top w:val="nil"/>
              <w:left w:val="nil"/>
              <w:bottom w:val="single" w:sz="8" w:space="0" w:color="auto"/>
              <w:right w:val="single" w:sz="8" w:space="0" w:color="auto"/>
            </w:tcBorders>
            <w:shd w:val="clear" w:color="auto" w:fill="auto"/>
            <w:noWrap/>
            <w:vAlign w:val="center"/>
            <w:hideMark/>
          </w:tcPr>
          <w:p w14:paraId="24642218" w14:textId="77777777" w:rsidR="00457B98" w:rsidRPr="00457B98" w:rsidRDefault="00457B98" w:rsidP="00D56B46">
            <w:pPr>
              <w:contextualSpacing/>
              <w:jc w:val="center"/>
              <w:rPr>
                <w:color w:val="000000"/>
                <w:sz w:val="20"/>
                <w:szCs w:val="20"/>
              </w:rPr>
            </w:pPr>
            <w:r w:rsidRPr="00457B98">
              <w:rPr>
                <w:color w:val="000000"/>
                <w:sz w:val="20"/>
                <w:szCs w:val="20"/>
              </w:rPr>
              <w:t>ton/</w:t>
            </w:r>
            <w:proofErr w:type="spellStart"/>
            <w:r w:rsidRPr="00457B98">
              <w:rPr>
                <w:color w:val="000000"/>
                <w:sz w:val="20"/>
                <w:szCs w:val="20"/>
              </w:rPr>
              <w:t>yr</w:t>
            </w:r>
            <w:proofErr w:type="spellEnd"/>
          </w:p>
        </w:tc>
      </w:tr>
      <w:tr w:rsidR="00457B98" w:rsidRPr="00457B98" w14:paraId="2F98720B" w14:textId="77777777" w:rsidTr="00457B98">
        <w:trPr>
          <w:trHeight w:val="320"/>
        </w:trPr>
        <w:tc>
          <w:tcPr>
            <w:tcW w:w="1937" w:type="pct"/>
            <w:tcBorders>
              <w:top w:val="nil"/>
              <w:left w:val="single" w:sz="8" w:space="0" w:color="auto"/>
              <w:bottom w:val="single" w:sz="8" w:space="0" w:color="auto"/>
              <w:right w:val="single" w:sz="8" w:space="0" w:color="auto"/>
            </w:tcBorders>
            <w:shd w:val="clear" w:color="auto" w:fill="auto"/>
            <w:noWrap/>
            <w:vAlign w:val="center"/>
            <w:hideMark/>
          </w:tcPr>
          <w:p w14:paraId="38E99EDF" w14:textId="77777777" w:rsidR="00457B98" w:rsidRPr="00457B98" w:rsidRDefault="00457B98" w:rsidP="00D56B46">
            <w:pPr>
              <w:contextualSpacing/>
              <w:jc w:val="center"/>
              <w:rPr>
                <w:color w:val="000000"/>
                <w:sz w:val="20"/>
                <w:szCs w:val="20"/>
              </w:rPr>
            </w:pPr>
            <w:r w:rsidRPr="00457B98">
              <w:rPr>
                <w:color w:val="000000"/>
                <w:sz w:val="20"/>
                <w:szCs w:val="20"/>
              </w:rPr>
              <w:t>Cost-Effectiveness</w:t>
            </w:r>
          </w:p>
        </w:tc>
        <w:tc>
          <w:tcPr>
            <w:tcW w:w="1097" w:type="pct"/>
            <w:tcBorders>
              <w:top w:val="nil"/>
              <w:left w:val="nil"/>
              <w:bottom w:val="single" w:sz="8" w:space="0" w:color="auto"/>
              <w:right w:val="single" w:sz="8" w:space="0" w:color="auto"/>
            </w:tcBorders>
            <w:shd w:val="clear" w:color="auto" w:fill="auto"/>
            <w:noWrap/>
            <w:vAlign w:val="center"/>
            <w:hideMark/>
          </w:tcPr>
          <w:p w14:paraId="7580A501" w14:textId="658EF5A6" w:rsidR="00457B98" w:rsidRPr="00457B98" w:rsidRDefault="00457B98" w:rsidP="00D56B46">
            <w:pPr>
              <w:contextualSpacing/>
              <w:jc w:val="center"/>
              <w:rPr>
                <w:color w:val="000000"/>
                <w:sz w:val="20"/>
                <w:szCs w:val="20"/>
              </w:rPr>
            </w:pPr>
            <w:r w:rsidRPr="00457B98">
              <w:rPr>
                <w:color w:val="000000"/>
                <w:sz w:val="20"/>
                <w:szCs w:val="20"/>
              </w:rPr>
              <w:t>$22,485</w:t>
            </w:r>
          </w:p>
        </w:tc>
        <w:tc>
          <w:tcPr>
            <w:tcW w:w="1209" w:type="pct"/>
            <w:tcBorders>
              <w:top w:val="nil"/>
              <w:left w:val="nil"/>
              <w:bottom w:val="single" w:sz="8" w:space="0" w:color="auto"/>
              <w:right w:val="single" w:sz="8" w:space="0" w:color="auto"/>
            </w:tcBorders>
            <w:shd w:val="clear" w:color="auto" w:fill="auto"/>
            <w:noWrap/>
            <w:vAlign w:val="center"/>
            <w:hideMark/>
          </w:tcPr>
          <w:p w14:paraId="634708F4" w14:textId="3872C9AE" w:rsidR="00457B98" w:rsidRPr="00457B98" w:rsidRDefault="00457B98" w:rsidP="00D56B46">
            <w:pPr>
              <w:contextualSpacing/>
              <w:jc w:val="center"/>
              <w:rPr>
                <w:color w:val="000000"/>
                <w:sz w:val="20"/>
                <w:szCs w:val="20"/>
              </w:rPr>
            </w:pPr>
            <w:r w:rsidRPr="00457B98">
              <w:rPr>
                <w:color w:val="000000"/>
                <w:sz w:val="20"/>
                <w:szCs w:val="20"/>
              </w:rPr>
              <w:t>$17,110</w:t>
            </w:r>
          </w:p>
        </w:tc>
        <w:tc>
          <w:tcPr>
            <w:tcW w:w="756" w:type="pct"/>
            <w:tcBorders>
              <w:top w:val="nil"/>
              <w:left w:val="nil"/>
              <w:bottom w:val="single" w:sz="8" w:space="0" w:color="auto"/>
              <w:right w:val="single" w:sz="8" w:space="0" w:color="auto"/>
            </w:tcBorders>
            <w:shd w:val="clear" w:color="auto" w:fill="auto"/>
            <w:noWrap/>
            <w:vAlign w:val="center"/>
            <w:hideMark/>
          </w:tcPr>
          <w:p w14:paraId="372F6091" w14:textId="77777777" w:rsidR="00457B98" w:rsidRPr="00457B98" w:rsidRDefault="00457B98" w:rsidP="00D56B46">
            <w:pPr>
              <w:contextualSpacing/>
              <w:jc w:val="center"/>
              <w:rPr>
                <w:color w:val="000000"/>
                <w:sz w:val="20"/>
                <w:szCs w:val="20"/>
              </w:rPr>
            </w:pPr>
            <w:r w:rsidRPr="00457B98">
              <w:rPr>
                <w:color w:val="000000"/>
                <w:sz w:val="20"/>
                <w:szCs w:val="20"/>
              </w:rPr>
              <w:t>$/ton</w:t>
            </w:r>
          </w:p>
        </w:tc>
      </w:tr>
    </w:tbl>
    <w:p w14:paraId="28E4ECBC" w14:textId="77777777" w:rsidR="00D6102A" w:rsidRDefault="00D6102A" w:rsidP="00D6102A"/>
    <w:p w14:paraId="2371FB26" w14:textId="4856115D" w:rsidR="00106EA1" w:rsidRPr="00457B98" w:rsidRDefault="00842AC9" w:rsidP="008B490A">
      <w:pPr>
        <w:pStyle w:val="Heading2"/>
      </w:pPr>
      <w:bookmarkStart w:id="20" w:name="_Toc109058123"/>
      <w:r w:rsidRPr="00457B98">
        <w:lastRenderedPageBreak/>
        <w:t>Conclusions &amp; Recommendations</w:t>
      </w:r>
      <w:bookmarkEnd w:id="20"/>
    </w:p>
    <w:p w14:paraId="3E37B0D4" w14:textId="3DCBA7EB" w:rsidR="00EC201E" w:rsidRPr="00457B98" w:rsidRDefault="00EC201E" w:rsidP="008B490A">
      <w:pPr>
        <w:pStyle w:val="Heading3"/>
        <w:rPr>
          <w:rFonts w:eastAsiaTheme="minorHAnsi"/>
        </w:rPr>
      </w:pPr>
      <w:bookmarkStart w:id="21" w:name="_Hlk93297945"/>
      <w:r w:rsidRPr="00457B98">
        <w:rPr>
          <w:rFonts w:eastAsiaTheme="minorHAnsi"/>
        </w:rPr>
        <w:t>Cost of Compliance</w:t>
      </w:r>
    </w:p>
    <w:p w14:paraId="4E3D74E8" w14:textId="21EF6C9E" w:rsidR="006A178D" w:rsidRDefault="00EC201E" w:rsidP="006A178D">
      <w:pPr>
        <w:pStyle w:val="ListParagraph"/>
        <w:contextualSpacing/>
        <w:rPr>
          <w:rFonts w:eastAsiaTheme="minorHAnsi"/>
        </w:rPr>
      </w:pPr>
      <w:bookmarkStart w:id="22" w:name="_Hlk109053554"/>
      <w:r w:rsidRPr="00457B98">
        <w:rPr>
          <w:rFonts w:eastAsiaTheme="minorHAnsi"/>
        </w:rPr>
        <w:t>A</w:t>
      </w:r>
      <w:r w:rsidR="009B26CB" w:rsidRPr="00457B98">
        <w:rPr>
          <w:rFonts w:eastAsiaTheme="minorHAnsi"/>
        </w:rPr>
        <w:t xml:space="preserve">dding DSI to </w:t>
      </w:r>
      <w:r w:rsidR="00076C7F" w:rsidRPr="00457B98">
        <w:rPr>
          <w:rFonts w:eastAsiaTheme="minorHAnsi"/>
        </w:rPr>
        <w:t>North Valmy U</w:t>
      </w:r>
      <w:r w:rsidR="009B26CB" w:rsidRPr="00457B98">
        <w:rPr>
          <w:rFonts w:eastAsiaTheme="minorHAnsi"/>
        </w:rPr>
        <w:t xml:space="preserve">nit 1 </w:t>
      </w:r>
      <w:r w:rsidRPr="00457B98">
        <w:rPr>
          <w:rFonts w:eastAsiaTheme="minorHAnsi"/>
        </w:rPr>
        <w:t xml:space="preserve">to reduce </w:t>
      </w:r>
      <w:r w:rsidR="00D6102A" w:rsidRPr="008303E0">
        <w:t>SO</w:t>
      </w:r>
      <w:r w:rsidR="00D6102A" w:rsidRPr="00D6102A">
        <w:rPr>
          <w:vertAlign w:val="subscript"/>
        </w:rPr>
        <w:t>2</w:t>
      </w:r>
      <w:r w:rsidRPr="00457B98">
        <w:rPr>
          <w:rFonts w:eastAsiaTheme="minorHAnsi"/>
        </w:rPr>
        <w:t xml:space="preserve"> emissions </w:t>
      </w:r>
      <w:r w:rsidR="009B26CB" w:rsidRPr="00457B98">
        <w:rPr>
          <w:rFonts w:eastAsiaTheme="minorHAnsi"/>
        </w:rPr>
        <w:t xml:space="preserve">is </w:t>
      </w:r>
      <w:r w:rsidR="0021754F" w:rsidRPr="00457B98">
        <w:rPr>
          <w:rFonts w:eastAsiaTheme="minorHAnsi"/>
        </w:rPr>
        <w:t>within the cost-</w:t>
      </w:r>
      <w:r w:rsidR="00076C7F" w:rsidRPr="00457B98">
        <w:rPr>
          <w:rFonts w:eastAsiaTheme="minorHAnsi"/>
        </w:rPr>
        <w:t>effectiveness</w:t>
      </w:r>
      <w:r w:rsidR="0021754F" w:rsidRPr="00457B98">
        <w:rPr>
          <w:rFonts w:eastAsiaTheme="minorHAnsi"/>
        </w:rPr>
        <w:t xml:space="preserve"> threshold established by Nevada for this round of regional haze planning</w:t>
      </w:r>
      <w:r w:rsidR="00863ED9">
        <w:rPr>
          <w:rFonts w:eastAsiaTheme="minorHAnsi"/>
        </w:rPr>
        <w:t xml:space="preserve">.  </w:t>
      </w:r>
    </w:p>
    <w:p w14:paraId="63B647F4" w14:textId="79269AD9" w:rsidR="006A178D" w:rsidRPr="006A178D" w:rsidRDefault="006A178D" w:rsidP="006A178D">
      <w:pPr>
        <w:pStyle w:val="ListParagraph"/>
        <w:numPr>
          <w:ilvl w:val="1"/>
          <w:numId w:val="1"/>
        </w:numPr>
        <w:contextualSpacing/>
        <w:rPr>
          <w:rFonts w:eastAsiaTheme="minorHAnsi"/>
        </w:rPr>
      </w:pPr>
      <w:r>
        <w:t>Replacement of the existing hydrated lime DSI system with a new one with greater capacity with</w:t>
      </w:r>
      <w:r w:rsidRPr="00457B98">
        <w:t xml:space="preserve"> hydrated lime </w:t>
      </w:r>
      <w:r>
        <w:t>could reduce</w:t>
      </w:r>
      <w:r w:rsidRPr="00457B98">
        <w:t xml:space="preserve"> </w:t>
      </w:r>
      <w:r w:rsidR="00D6102A" w:rsidRPr="008303E0">
        <w:t>SO</w:t>
      </w:r>
      <w:r w:rsidR="00D6102A" w:rsidRPr="00D6102A">
        <w:rPr>
          <w:vertAlign w:val="subscript"/>
        </w:rPr>
        <w:t>2</w:t>
      </w:r>
      <w:r w:rsidRPr="00457B98">
        <w:t xml:space="preserve"> </w:t>
      </w:r>
      <w:r>
        <w:t>by an additional 500 tons/year, resulting in an incremental cost-effectiveness of about $9,100/ton</w:t>
      </w:r>
      <w:r w:rsidR="00863ED9">
        <w:t xml:space="preserve">.  </w:t>
      </w:r>
    </w:p>
    <w:p w14:paraId="03605BFF" w14:textId="590F728A" w:rsidR="006A178D" w:rsidRPr="006A178D" w:rsidRDefault="006A178D" w:rsidP="006A178D">
      <w:pPr>
        <w:pStyle w:val="ListParagraph"/>
        <w:numPr>
          <w:ilvl w:val="1"/>
          <w:numId w:val="1"/>
        </w:numPr>
        <w:contextualSpacing/>
        <w:rPr>
          <w:rFonts w:eastAsiaTheme="minorHAnsi"/>
        </w:rPr>
      </w:pPr>
      <w:r>
        <w:t>With the additional cost of adding PAC, the incremental cost-effectiveness of replacing the existing hydrated lime DSI system with DSI using milled trona is still about $9,500/ton</w:t>
      </w:r>
      <w:r w:rsidRPr="00884A90">
        <w:t xml:space="preserve"> </w:t>
      </w:r>
      <w:r>
        <w:t xml:space="preserve">and </w:t>
      </w:r>
      <w:r w:rsidR="00BE1C02">
        <w:t>would</w:t>
      </w:r>
      <w:r>
        <w:t xml:space="preserve"> remove an additional 1</w:t>
      </w:r>
      <w:r w:rsidR="00D6102A">
        <w:t>,</w:t>
      </w:r>
      <w:r>
        <w:t>200 tons/year</w:t>
      </w:r>
      <w:bookmarkEnd w:id="22"/>
      <w:r w:rsidR="00863ED9">
        <w:t xml:space="preserve">.  </w:t>
      </w:r>
    </w:p>
    <w:p w14:paraId="139A6CAF" w14:textId="4212F21C" w:rsidR="009B26CB" w:rsidRPr="00457B98" w:rsidRDefault="000F160C" w:rsidP="00D56B46">
      <w:pPr>
        <w:pStyle w:val="ListParagraph"/>
        <w:contextualSpacing/>
        <w:rPr>
          <w:rFonts w:eastAsia="MS PGothic"/>
        </w:rPr>
      </w:pPr>
      <w:bookmarkStart w:id="23" w:name="_Hlk93297920"/>
      <w:bookmarkStart w:id="24" w:name="_Hlk93298166"/>
      <w:bookmarkEnd w:id="21"/>
      <w:r w:rsidRPr="00457B98">
        <w:rPr>
          <w:rFonts w:eastAsia="Cambria"/>
        </w:rPr>
        <w:t xml:space="preserve">North Valmy </w:t>
      </w:r>
      <w:r w:rsidR="00A6070C" w:rsidRPr="00457B98">
        <w:rPr>
          <w:rFonts w:eastAsia="Cambria"/>
        </w:rPr>
        <w:t xml:space="preserve">Unit 2 is achieving </w:t>
      </w:r>
      <w:r w:rsidR="00004956">
        <w:rPr>
          <w:rFonts w:eastAsia="Cambria"/>
        </w:rPr>
        <w:t>about 80</w:t>
      </w:r>
      <w:r w:rsidR="00A6070C" w:rsidRPr="00457B98">
        <w:rPr>
          <w:rFonts w:eastAsia="Cambria"/>
        </w:rPr>
        <w:t xml:space="preserve">% </w:t>
      </w:r>
      <w:r w:rsidR="00D6102A" w:rsidRPr="008303E0">
        <w:t>SO</w:t>
      </w:r>
      <w:r w:rsidR="00D6102A" w:rsidRPr="00D6102A">
        <w:rPr>
          <w:vertAlign w:val="subscript"/>
        </w:rPr>
        <w:t>2</w:t>
      </w:r>
      <w:r w:rsidR="00376EC5" w:rsidRPr="00457B98">
        <w:rPr>
          <w:rFonts w:eastAsia="Cambria"/>
        </w:rPr>
        <w:t xml:space="preserve"> control </w:t>
      </w:r>
      <w:r w:rsidR="00A6070C" w:rsidRPr="00457B98">
        <w:rPr>
          <w:rFonts w:eastAsia="Cambria"/>
        </w:rPr>
        <w:t>efficiency</w:t>
      </w:r>
      <w:r w:rsidR="00863ED9">
        <w:rPr>
          <w:rFonts w:eastAsia="Cambria"/>
        </w:rPr>
        <w:t xml:space="preserve">.  </w:t>
      </w:r>
      <w:r w:rsidR="00A6070C" w:rsidRPr="00457B98">
        <w:rPr>
          <w:rFonts w:eastAsia="Cambria"/>
        </w:rPr>
        <w:t>Modern FGD systems regularly achieve better than 95% control</w:t>
      </w:r>
      <w:r w:rsidR="00863ED9">
        <w:rPr>
          <w:rFonts w:eastAsia="Cambria"/>
        </w:rPr>
        <w:t xml:space="preserve">.  </w:t>
      </w:r>
      <w:r w:rsidR="00634144" w:rsidRPr="00457B98">
        <w:rPr>
          <w:rFonts w:eastAsia="Cambria"/>
        </w:rPr>
        <w:t xml:space="preserve">NDEP </w:t>
      </w:r>
      <w:r w:rsidR="006A178D">
        <w:rPr>
          <w:rFonts w:eastAsia="Cambria"/>
        </w:rPr>
        <w:t xml:space="preserve">required that NVE </w:t>
      </w:r>
      <w:r w:rsidR="00634144" w:rsidRPr="00457B98">
        <w:rPr>
          <w:rFonts w:eastAsia="Cambria"/>
        </w:rPr>
        <w:t>conduct a f</w:t>
      </w:r>
      <w:r w:rsidR="009B26CB" w:rsidRPr="00457B98">
        <w:rPr>
          <w:rFonts w:eastAsia="Cambria"/>
        </w:rPr>
        <w:t xml:space="preserve">our-factor analyses </w:t>
      </w:r>
      <w:r w:rsidR="00634144" w:rsidRPr="00457B98">
        <w:rPr>
          <w:rFonts w:eastAsia="Cambria"/>
        </w:rPr>
        <w:t>focused on</w:t>
      </w:r>
      <w:r w:rsidR="009B26CB" w:rsidRPr="00457B98">
        <w:rPr>
          <w:rFonts w:eastAsia="Cambria"/>
        </w:rPr>
        <w:t xml:space="preserve"> upgrading </w:t>
      </w:r>
      <w:bookmarkEnd w:id="23"/>
      <w:r w:rsidR="009B26CB" w:rsidRPr="00457B98">
        <w:rPr>
          <w:rFonts w:eastAsia="Cambria"/>
        </w:rPr>
        <w:t>the FGD on Unit 2</w:t>
      </w:r>
      <w:r w:rsidR="00863ED9">
        <w:rPr>
          <w:rFonts w:eastAsia="Cambria"/>
        </w:rPr>
        <w:t xml:space="preserve">.  </w:t>
      </w:r>
      <w:r w:rsidR="006F0CB3">
        <w:rPr>
          <w:rFonts w:eastAsia="Cambria"/>
        </w:rPr>
        <w:t>NPS</w:t>
      </w:r>
      <w:r w:rsidR="006A178D">
        <w:rPr>
          <w:rFonts w:eastAsia="Cambria"/>
        </w:rPr>
        <w:t xml:space="preserve"> review of the NVE analysis confirms that a scrubber upgrade would exceed the NDEP cost-effectiveness by more than a factor of two.</w:t>
      </w:r>
    </w:p>
    <w:bookmarkEnd w:id="24"/>
    <w:p w14:paraId="26482767" w14:textId="0526223A" w:rsidR="009B26CB" w:rsidRPr="00457B98" w:rsidRDefault="00F830F5" w:rsidP="00D56B46">
      <w:pPr>
        <w:pStyle w:val="ListParagraph"/>
        <w:contextualSpacing/>
        <w:rPr>
          <w:rFonts w:eastAsiaTheme="minorHAnsi"/>
        </w:rPr>
      </w:pPr>
      <w:r w:rsidRPr="00457B98">
        <w:rPr>
          <w:rFonts w:eastAsiaTheme="minorHAnsi"/>
        </w:rPr>
        <w:t>Analysis of SNCR</w:t>
      </w:r>
      <w:r w:rsidR="006A178D">
        <w:rPr>
          <w:rFonts w:eastAsiaTheme="minorHAnsi"/>
        </w:rPr>
        <w:t>’s</w:t>
      </w:r>
      <w:r w:rsidRPr="00457B98">
        <w:rPr>
          <w:rFonts w:eastAsiaTheme="minorHAnsi"/>
        </w:rPr>
        <w:t xml:space="preserve"> potential to reduce </w:t>
      </w:r>
      <w:r w:rsidR="00187B7F" w:rsidRPr="00457B98">
        <w:t>NO</w:t>
      </w:r>
      <w:r w:rsidR="00187B7F" w:rsidRPr="00457B98">
        <w:rPr>
          <w:vertAlign w:val="subscript"/>
        </w:rPr>
        <w:t>x</w:t>
      </w:r>
      <w:r w:rsidRPr="00457B98">
        <w:rPr>
          <w:rFonts w:eastAsiaTheme="minorHAnsi"/>
        </w:rPr>
        <w:t xml:space="preserve"> emissions at North Valmy Units 1 &amp; 2 </w:t>
      </w:r>
      <w:r w:rsidR="002223B7" w:rsidRPr="00457B98">
        <w:rPr>
          <w:rFonts w:eastAsiaTheme="minorHAnsi"/>
        </w:rPr>
        <w:t xml:space="preserve">is not within the cost-effectiveness threshold set by Nevada and </w:t>
      </w:r>
      <w:r w:rsidR="009B26CB" w:rsidRPr="00457B98">
        <w:rPr>
          <w:rFonts w:eastAsiaTheme="minorHAnsi"/>
        </w:rPr>
        <w:t>exceeds the thresholds used by other states</w:t>
      </w:r>
      <w:r w:rsidR="0044730D" w:rsidRPr="00457B98">
        <w:rPr>
          <w:rFonts w:eastAsiaTheme="minorHAnsi"/>
        </w:rPr>
        <w:t xml:space="preserve"> for this regional haze planning period</w:t>
      </w:r>
      <w:r w:rsidR="009B26CB" w:rsidRPr="00457B98">
        <w:rPr>
          <w:rFonts w:eastAsiaTheme="minorHAnsi"/>
        </w:rPr>
        <w:t>.</w:t>
      </w:r>
    </w:p>
    <w:p w14:paraId="1B68DE5A" w14:textId="77777777" w:rsidR="00636831" w:rsidRPr="00457B98" w:rsidRDefault="00636831" w:rsidP="00D56B46">
      <w:pPr>
        <w:pStyle w:val="ListParagraph"/>
        <w:numPr>
          <w:ilvl w:val="0"/>
          <w:numId w:val="0"/>
        </w:numPr>
        <w:ind w:left="720"/>
        <w:contextualSpacing/>
        <w:rPr>
          <w:rFonts w:eastAsiaTheme="minorHAnsi"/>
        </w:rPr>
      </w:pPr>
    </w:p>
    <w:p w14:paraId="53FD6A89" w14:textId="77777777" w:rsidR="00EC201E" w:rsidRPr="00457B98" w:rsidRDefault="00EC201E" w:rsidP="005C4C2D">
      <w:pPr>
        <w:pStyle w:val="Heading3"/>
        <w:rPr>
          <w:rFonts w:eastAsiaTheme="minorHAnsi"/>
        </w:rPr>
      </w:pPr>
      <w:r w:rsidRPr="00457B98">
        <w:rPr>
          <w:rFonts w:eastAsiaTheme="minorHAnsi"/>
        </w:rPr>
        <w:t>Other Factors</w:t>
      </w:r>
    </w:p>
    <w:p w14:paraId="391C6C3E" w14:textId="1DD8CDE3" w:rsidR="009B26CB" w:rsidRPr="00457B98" w:rsidRDefault="00267F0A" w:rsidP="00D56B46">
      <w:pPr>
        <w:pStyle w:val="ListParagraph"/>
        <w:contextualSpacing/>
        <w:rPr>
          <w:rFonts w:eastAsiaTheme="minorHAnsi"/>
        </w:rPr>
      </w:pPr>
      <w:r>
        <w:rPr>
          <w:rFonts w:eastAsiaTheme="majorEastAsia"/>
        </w:rPr>
        <w:t>NVE h</w:t>
      </w:r>
      <w:r w:rsidR="00FA14E2">
        <w:rPr>
          <w:rFonts w:eastAsiaTheme="majorEastAsia"/>
        </w:rPr>
        <w:t>a</w:t>
      </w:r>
      <w:r>
        <w:rPr>
          <w:rFonts w:eastAsiaTheme="majorEastAsia"/>
        </w:rPr>
        <w:t xml:space="preserve">s not shown that </w:t>
      </w:r>
      <w:r w:rsidR="009B26CB" w:rsidRPr="00457B98">
        <w:rPr>
          <w:rFonts w:eastAsiaTheme="majorEastAsia"/>
        </w:rPr>
        <w:t xml:space="preserve">Energy and Non-Air Environmental Impacts </w:t>
      </w:r>
      <w:r w:rsidR="008F1DDE" w:rsidRPr="00457B98">
        <w:rPr>
          <w:rFonts w:eastAsiaTheme="minorHAnsi"/>
        </w:rPr>
        <w:t xml:space="preserve">raised as concerns </w:t>
      </w:r>
      <w:r w:rsidR="009B26CB" w:rsidRPr="00457B98">
        <w:rPr>
          <w:rFonts w:eastAsiaTheme="minorHAnsi"/>
        </w:rPr>
        <w:t xml:space="preserve">for DSI </w:t>
      </w:r>
      <w:r w:rsidR="002772A2" w:rsidRPr="00457B98">
        <w:rPr>
          <w:rFonts w:eastAsiaTheme="minorHAnsi"/>
        </w:rPr>
        <w:t xml:space="preserve">are </w:t>
      </w:r>
      <w:r w:rsidR="009B26CB" w:rsidRPr="00457B98">
        <w:rPr>
          <w:rFonts w:eastAsiaTheme="minorHAnsi"/>
        </w:rPr>
        <w:t>unique to this situation.</w:t>
      </w:r>
    </w:p>
    <w:p w14:paraId="1271477D" w14:textId="28EF9208" w:rsidR="009B26CB" w:rsidRPr="00457B98" w:rsidRDefault="009B26CB" w:rsidP="00D56B46">
      <w:pPr>
        <w:pStyle w:val="ListParagraph"/>
        <w:contextualSpacing/>
        <w:rPr>
          <w:rFonts w:eastAsiaTheme="minorHAnsi"/>
        </w:rPr>
      </w:pPr>
      <w:r w:rsidRPr="00457B98">
        <w:rPr>
          <w:rFonts w:eastAsiaTheme="minorHAnsi"/>
        </w:rPr>
        <w:t xml:space="preserve">Time Necessary for Compliance </w:t>
      </w:r>
      <w:r w:rsidR="002772A2" w:rsidRPr="00457B98">
        <w:rPr>
          <w:rFonts w:eastAsiaTheme="minorHAnsi"/>
        </w:rPr>
        <w:t>is expected to</w:t>
      </w:r>
      <w:r w:rsidRPr="00457B98">
        <w:rPr>
          <w:rFonts w:eastAsiaTheme="minorHAnsi"/>
        </w:rPr>
        <w:t xml:space="preserve"> be less than two years.</w:t>
      </w:r>
    </w:p>
    <w:p w14:paraId="1ED04C65" w14:textId="1509010E" w:rsidR="009B26CB" w:rsidRPr="00457B98" w:rsidRDefault="009B26CB" w:rsidP="00D56B46">
      <w:pPr>
        <w:pStyle w:val="ListParagraph"/>
        <w:contextualSpacing/>
        <w:rPr>
          <w:rFonts w:eastAsiaTheme="minorHAnsi"/>
        </w:rPr>
      </w:pPr>
      <w:r w:rsidRPr="00457B98">
        <w:rPr>
          <w:rFonts w:eastAsiaTheme="minorHAnsi"/>
        </w:rPr>
        <w:t>Remaining Useful Life will be limited by federally</w:t>
      </w:r>
      <w:r w:rsidR="002717F0">
        <w:rPr>
          <w:rFonts w:eastAsiaTheme="minorHAnsi"/>
        </w:rPr>
        <w:t xml:space="preserve"> </w:t>
      </w:r>
      <w:r w:rsidRPr="00457B98">
        <w:rPr>
          <w:rFonts w:eastAsiaTheme="minorHAnsi"/>
        </w:rPr>
        <w:t>enforceable conditions.</w:t>
      </w:r>
    </w:p>
    <w:p w14:paraId="6E7C7368" w14:textId="117A9CD0" w:rsidR="00636831" w:rsidRPr="00457B98" w:rsidRDefault="00636831" w:rsidP="005C4C2D">
      <w:pPr>
        <w:pStyle w:val="Heading3"/>
        <w:rPr>
          <w:rFonts w:eastAsiaTheme="minorHAnsi"/>
        </w:rPr>
      </w:pPr>
      <w:r w:rsidRPr="00457B98">
        <w:rPr>
          <w:rFonts w:eastAsiaTheme="minorHAnsi"/>
        </w:rPr>
        <w:t>Conclusion</w:t>
      </w:r>
    </w:p>
    <w:p w14:paraId="380F8B32" w14:textId="76EF3F48" w:rsidR="009B26CB" w:rsidRPr="00457B98" w:rsidRDefault="00933DEA" w:rsidP="00CF504A">
      <w:bookmarkStart w:id="25" w:name="_Hlk91511060"/>
      <w:r>
        <w:t>The NPS</w:t>
      </w:r>
      <w:r w:rsidR="009B26CB" w:rsidRPr="00457B98">
        <w:t xml:space="preserve"> request</w:t>
      </w:r>
      <w:r w:rsidR="00612304">
        <w:t>s</w:t>
      </w:r>
      <w:r w:rsidR="009B26CB" w:rsidRPr="00457B98">
        <w:t xml:space="preserve"> that Nevada </w:t>
      </w:r>
      <w:proofErr w:type="gramStart"/>
      <w:r w:rsidR="009B26CB" w:rsidRPr="00457B98">
        <w:t>require</w:t>
      </w:r>
      <w:proofErr w:type="gramEnd"/>
      <w:r w:rsidR="009B26CB" w:rsidRPr="00457B98">
        <w:t xml:space="preserve"> the most effective control measures found to be technically</w:t>
      </w:r>
      <w:r w:rsidR="43D5AE0C">
        <w:t>-</w:t>
      </w:r>
      <w:r w:rsidR="009B26CB" w:rsidRPr="00457B98">
        <w:t>feasible and cost-effective through analysis of the four factors specified in the Regional Haze Rule</w:t>
      </w:r>
      <w:r w:rsidR="00863ED9">
        <w:t xml:space="preserve">.  </w:t>
      </w:r>
      <w:r w:rsidR="009B26CB" w:rsidRPr="00457B98">
        <w:t>Those control measures include DSI</w:t>
      </w:r>
      <w:bookmarkEnd w:id="25"/>
      <w:r w:rsidR="007142C2" w:rsidRPr="00457B98">
        <w:t xml:space="preserve"> for Unit 1 at North Valmy</w:t>
      </w:r>
      <w:r w:rsidR="009B26CB" w:rsidRPr="00457B98">
        <w:t>.</w:t>
      </w:r>
    </w:p>
    <w:p w14:paraId="257D2ECC" w14:textId="77777777" w:rsidR="009B26CB" w:rsidRPr="00457B98" w:rsidRDefault="009B26CB" w:rsidP="00D56B46">
      <w:pPr>
        <w:contextualSpacing/>
      </w:pPr>
    </w:p>
    <w:sectPr w:rsidR="009B26CB" w:rsidRPr="00457B98">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F0571" w14:textId="77777777" w:rsidR="008A49E7" w:rsidRDefault="008A49E7" w:rsidP="00C66699">
      <w:r>
        <w:separator/>
      </w:r>
    </w:p>
  </w:endnote>
  <w:endnote w:type="continuationSeparator" w:id="0">
    <w:p w14:paraId="462DC212" w14:textId="77777777" w:rsidR="008A49E7" w:rsidRDefault="008A49E7" w:rsidP="00C66699">
      <w:r>
        <w:continuationSeparator/>
      </w:r>
    </w:p>
  </w:endnote>
  <w:endnote w:type="continuationNotice" w:id="1">
    <w:p w14:paraId="5E2F2EBA" w14:textId="77777777" w:rsidR="008A49E7" w:rsidRDefault="008A49E7" w:rsidP="00C666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0850538"/>
      <w:docPartObj>
        <w:docPartGallery w:val="Page Numbers (Bottom of Page)"/>
        <w:docPartUnique/>
      </w:docPartObj>
    </w:sdtPr>
    <w:sdtEndPr>
      <w:rPr>
        <w:noProof/>
      </w:rPr>
    </w:sdtEndPr>
    <w:sdtContent>
      <w:p w14:paraId="48BD09A3" w14:textId="61323DE8" w:rsidR="00C715FC" w:rsidRPr="00C715FC" w:rsidRDefault="00C715FC" w:rsidP="00A72945">
        <w:pPr>
          <w:pStyle w:val="PageNumber1"/>
        </w:pPr>
        <w:r w:rsidRPr="00C715FC">
          <w:fldChar w:fldCharType="begin"/>
        </w:r>
        <w:r w:rsidRPr="00C715FC">
          <w:instrText xml:space="preserve"> PAGE   \* MERGEFORMAT </w:instrText>
        </w:r>
        <w:r w:rsidRPr="00C715FC">
          <w:fldChar w:fldCharType="separate"/>
        </w:r>
        <w:r w:rsidRPr="00C715FC">
          <w:rPr>
            <w:noProof/>
          </w:rPr>
          <w:t>2</w:t>
        </w:r>
        <w:r w:rsidRPr="00C715FC">
          <w:rPr>
            <w:noProof/>
          </w:rPr>
          <w:fldChar w:fldCharType="end"/>
        </w:r>
      </w:p>
    </w:sdtContent>
  </w:sdt>
  <w:p w14:paraId="49E81B7A" w14:textId="77777777" w:rsidR="00BC2364" w:rsidRDefault="00BC23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27DE6" w14:textId="77777777" w:rsidR="008A49E7" w:rsidRDefault="008A49E7" w:rsidP="00C66699">
      <w:r>
        <w:separator/>
      </w:r>
    </w:p>
  </w:footnote>
  <w:footnote w:type="continuationSeparator" w:id="0">
    <w:p w14:paraId="0BEB41EA" w14:textId="77777777" w:rsidR="008A49E7" w:rsidRDefault="008A49E7" w:rsidP="00C66699">
      <w:r>
        <w:continuationSeparator/>
      </w:r>
    </w:p>
  </w:footnote>
  <w:footnote w:type="continuationNotice" w:id="1">
    <w:p w14:paraId="1B840C63" w14:textId="77777777" w:rsidR="008A49E7" w:rsidRDefault="008A49E7" w:rsidP="00C66699"/>
  </w:footnote>
  <w:footnote w:id="2">
    <w:p w14:paraId="2684E5F3" w14:textId="77777777" w:rsidR="00D56B46" w:rsidRDefault="00D56B46" w:rsidP="00D56B46">
      <w:pPr>
        <w:pStyle w:val="FootnoteText"/>
      </w:pPr>
      <w:r>
        <w:rPr>
          <w:rStyle w:val="FootnoteReference"/>
        </w:rPr>
        <w:footnoteRef/>
      </w:r>
      <w:r>
        <w:t xml:space="preserve"> </w:t>
      </w:r>
      <w:hyperlink r:id="rId1" w:history="1">
        <w:r>
          <w:rPr>
            <w:rStyle w:val="Hyperlink"/>
          </w:rPr>
          <w:t>Dry Sorbent Injection for SO2/HCl Control Cost Development Methodology (epa.gov)</w:t>
        </w:r>
      </w:hyperlink>
    </w:p>
  </w:footnote>
  <w:footnote w:id="3">
    <w:p w14:paraId="7F94C8BA" w14:textId="13E7615E" w:rsidR="00855FBD" w:rsidRDefault="00855FBD">
      <w:pPr>
        <w:pStyle w:val="FootnoteText"/>
      </w:pPr>
      <w:r>
        <w:rPr>
          <w:rStyle w:val="FootnoteReference"/>
        </w:rPr>
        <w:footnoteRef/>
      </w:r>
      <w:r>
        <w:t xml:space="preserve"> EPA used the S&amp;L IPM methodologies as the basis for its recent CCM updates for SNCR, SCR, and SDA/CDS/Wet FGD.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D3206"/>
    <w:multiLevelType w:val="hybridMultilevel"/>
    <w:tmpl w:val="98DCD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DD2FE6"/>
    <w:multiLevelType w:val="hybridMultilevel"/>
    <w:tmpl w:val="7D489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82E71"/>
    <w:multiLevelType w:val="hybridMultilevel"/>
    <w:tmpl w:val="ABA20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437AE"/>
    <w:multiLevelType w:val="hybridMultilevel"/>
    <w:tmpl w:val="ABAEC2EE"/>
    <w:lvl w:ilvl="0" w:tplc="A87C2C8A">
      <w:start w:val="1"/>
      <w:numFmt w:val="lowerLetter"/>
      <w:lvlText w:val="(%1)"/>
      <w:lvlJc w:val="left"/>
      <w:pPr>
        <w:ind w:left="467" w:hanging="328"/>
      </w:pPr>
      <w:rPr>
        <w:rFonts w:ascii="Times New Roman" w:eastAsia="Times New Roman" w:hAnsi="Times New Roman" w:cs="Times New Roman" w:hint="default"/>
        <w:b w:val="0"/>
        <w:bCs w:val="0"/>
        <w:i w:val="0"/>
        <w:iCs w:val="0"/>
        <w:w w:val="100"/>
        <w:sz w:val="24"/>
        <w:szCs w:val="24"/>
        <w:lang w:val="en-US" w:eastAsia="en-US" w:bidi="ar-SA"/>
      </w:rPr>
    </w:lvl>
    <w:lvl w:ilvl="1" w:tplc="1BAA96D4">
      <w:start w:val="1"/>
      <w:numFmt w:val="lowerLetter"/>
      <w:lvlText w:val="(%2)"/>
      <w:lvlJc w:val="left"/>
      <w:pPr>
        <w:ind w:left="860" w:hanging="360"/>
      </w:pPr>
      <w:rPr>
        <w:rFonts w:ascii="Times New Roman" w:eastAsia="Times New Roman" w:hAnsi="Times New Roman" w:cs="Times New Roman" w:hint="default"/>
        <w:b w:val="0"/>
        <w:bCs w:val="0"/>
        <w:i/>
        <w:iCs/>
        <w:w w:val="99"/>
        <w:sz w:val="24"/>
        <w:szCs w:val="24"/>
        <w:lang w:val="en-US" w:eastAsia="en-US" w:bidi="ar-SA"/>
      </w:rPr>
    </w:lvl>
    <w:lvl w:ilvl="2" w:tplc="E69A4514">
      <w:numFmt w:val="bullet"/>
      <w:lvlText w:val="•"/>
      <w:lvlJc w:val="left"/>
      <w:pPr>
        <w:ind w:left="1837" w:hanging="360"/>
      </w:pPr>
      <w:rPr>
        <w:rFonts w:hint="default"/>
        <w:lang w:val="en-US" w:eastAsia="en-US" w:bidi="ar-SA"/>
      </w:rPr>
    </w:lvl>
    <w:lvl w:ilvl="3" w:tplc="84A4EB6C">
      <w:numFmt w:val="bullet"/>
      <w:lvlText w:val="•"/>
      <w:lvlJc w:val="left"/>
      <w:pPr>
        <w:ind w:left="2815" w:hanging="360"/>
      </w:pPr>
      <w:rPr>
        <w:rFonts w:hint="default"/>
        <w:lang w:val="en-US" w:eastAsia="en-US" w:bidi="ar-SA"/>
      </w:rPr>
    </w:lvl>
    <w:lvl w:ilvl="4" w:tplc="1E7CFE6A">
      <w:numFmt w:val="bullet"/>
      <w:lvlText w:val="•"/>
      <w:lvlJc w:val="left"/>
      <w:pPr>
        <w:ind w:left="3793" w:hanging="360"/>
      </w:pPr>
      <w:rPr>
        <w:rFonts w:hint="default"/>
        <w:lang w:val="en-US" w:eastAsia="en-US" w:bidi="ar-SA"/>
      </w:rPr>
    </w:lvl>
    <w:lvl w:ilvl="5" w:tplc="EDAEB2EA">
      <w:numFmt w:val="bullet"/>
      <w:lvlText w:val="•"/>
      <w:lvlJc w:val="left"/>
      <w:pPr>
        <w:ind w:left="4771" w:hanging="360"/>
      </w:pPr>
      <w:rPr>
        <w:rFonts w:hint="default"/>
        <w:lang w:val="en-US" w:eastAsia="en-US" w:bidi="ar-SA"/>
      </w:rPr>
    </w:lvl>
    <w:lvl w:ilvl="6" w:tplc="3F8C2786">
      <w:numFmt w:val="bullet"/>
      <w:lvlText w:val="•"/>
      <w:lvlJc w:val="left"/>
      <w:pPr>
        <w:ind w:left="5748" w:hanging="360"/>
      </w:pPr>
      <w:rPr>
        <w:rFonts w:hint="default"/>
        <w:lang w:val="en-US" w:eastAsia="en-US" w:bidi="ar-SA"/>
      </w:rPr>
    </w:lvl>
    <w:lvl w:ilvl="7" w:tplc="8392FD90">
      <w:numFmt w:val="bullet"/>
      <w:lvlText w:val="•"/>
      <w:lvlJc w:val="left"/>
      <w:pPr>
        <w:ind w:left="6726" w:hanging="360"/>
      </w:pPr>
      <w:rPr>
        <w:rFonts w:hint="default"/>
        <w:lang w:val="en-US" w:eastAsia="en-US" w:bidi="ar-SA"/>
      </w:rPr>
    </w:lvl>
    <w:lvl w:ilvl="8" w:tplc="0F0C989A">
      <w:numFmt w:val="bullet"/>
      <w:lvlText w:val="•"/>
      <w:lvlJc w:val="left"/>
      <w:pPr>
        <w:ind w:left="7704" w:hanging="360"/>
      </w:pPr>
      <w:rPr>
        <w:rFonts w:hint="default"/>
        <w:lang w:val="en-US" w:eastAsia="en-US" w:bidi="ar-SA"/>
      </w:rPr>
    </w:lvl>
  </w:abstractNum>
  <w:abstractNum w:abstractNumId="4" w15:restartNumberingAfterBreak="0">
    <w:nsid w:val="0CB939A4"/>
    <w:multiLevelType w:val="hybridMultilevel"/>
    <w:tmpl w:val="1C94D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A6DFA"/>
    <w:multiLevelType w:val="hybridMultilevel"/>
    <w:tmpl w:val="A582D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B6F25"/>
    <w:multiLevelType w:val="hybridMultilevel"/>
    <w:tmpl w:val="4FF254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0107C"/>
    <w:multiLevelType w:val="hybridMultilevel"/>
    <w:tmpl w:val="115E98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C5858DE"/>
    <w:multiLevelType w:val="hybridMultilevel"/>
    <w:tmpl w:val="EF6ED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85659D"/>
    <w:multiLevelType w:val="hybridMultilevel"/>
    <w:tmpl w:val="21C04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DE1AD9"/>
    <w:multiLevelType w:val="hybridMultilevel"/>
    <w:tmpl w:val="09A687AC"/>
    <w:lvl w:ilvl="0" w:tplc="32EA97AA">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D612A9"/>
    <w:multiLevelType w:val="hybridMultilevel"/>
    <w:tmpl w:val="0BD2C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EE25DA"/>
    <w:multiLevelType w:val="hybridMultilevel"/>
    <w:tmpl w:val="C1986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B90911"/>
    <w:multiLevelType w:val="hybridMultilevel"/>
    <w:tmpl w:val="1098D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153481"/>
    <w:multiLevelType w:val="hybridMultilevel"/>
    <w:tmpl w:val="D6B69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C212D2"/>
    <w:multiLevelType w:val="hybridMultilevel"/>
    <w:tmpl w:val="4EAA3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706DCA"/>
    <w:multiLevelType w:val="hybridMultilevel"/>
    <w:tmpl w:val="4EC082C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4F35DA"/>
    <w:multiLevelType w:val="hybridMultilevel"/>
    <w:tmpl w:val="45F41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2A6796"/>
    <w:multiLevelType w:val="hybridMultilevel"/>
    <w:tmpl w:val="6CCC5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232DC1"/>
    <w:multiLevelType w:val="hybridMultilevel"/>
    <w:tmpl w:val="26C0D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BA4F9B"/>
    <w:multiLevelType w:val="multilevel"/>
    <w:tmpl w:val="B270070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none"/>
      <w:pStyle w:val="Heading4"/>
      <w:lvlText w:val=""/>
      <w:lvlJc w:val="left"/>
      <w:pPr>
        <w:ind w:left="0" w:firstLine="0"/>
      </w:pPr>
      <w:rPr>
        <w:rFonts w:hint="default"/>
      </w:rPr>
    </w:lvl>
    <w:lvl w:ilvl="4">
      <w:start w:val="1"/>
      <w:numFmt w:val="none"/>
      <w:pStyle w:val="Heading5"/>
      <w:lvlText w:val=" –"/>
      <w:lvlJc w:val="left"/>
      <w:pPr>
        <w:ind w:left="216" w:hanging="216"/>
      </w:pPr>
      <w:rPr>
        <w:rFonts w:hint="default"/>
      </w:rPr>
    </w:lvl>
    <w:lvl w:ilvl="5">
      <w:start w:val="1"/>
      <w:numFmt w:val="none"/>
      <w:pStyle w:val="Heading6"/>
      <w:lvlText w:val=""/>
      <w:lvlJc w:val="left"/>
      <w:pPr>
        <w:ind w:left="0" w:firstLine="0"/>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4CF93C77"/>
    <w:multiLevelType w:val="hybridMultilevel"/>
    <w:tmpl w:val="BAEED66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F8B4AA6"/>
    <w:multiLevelType w:val="hybridMultilevel"/>
    <w:tmpl w:val="0C080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4061E9"/>
    <w:multiLevelType w:val="hybridMultilevel"/>
    <w:tmpl w:val="E8D6E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4C25FD"/>
    <w:multiLevelType w:val="hybridMultilevel"/>
    <w:tmpl w:val="0920701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D210FE4"/>
    <w:multiLevelType w:val="hybridMultilevel"/>
    <w:tmpl w:val="83D27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FA51E2"/>
    <w:multiLevelType w:val="hybridMultilevel"/>
    <w:tmpl w:val="9718119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4920774"/>
    <w:multiLevelType w:val="hybridMultilevel"/>
    <w:tmpl w:val="38E4D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5B4453"/>
    <w:multiLevelType w:val="hybridMultilevel"/>
    <w:tmpl w:val="B1F0B5D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C0136E4"/>
    <w:multiLevelType w:val="hybridMultilevel"/>
    <w:tmpl w:val="24CC00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772D82"/>
    <w:multiLevelType w:val="hybridMultilevel"/>
    <w:tmpl w:val="2DC8A0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1B7511A"/>
    <w:multiLevelType w:val="hybridMultilevel"/>
    <w:tmpl w:val="5268C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B93268"/>
    <w:multiLevelType w:val="hybridMultilevel"/>
    <w:tmpl w:val="D6A89024"/>
    <w:lvl w:ilvl="0" w:tplc="23C0F018">
      <w:start w:val="1"/>
      <w:numFmt w:val="lowerLetter"/>
      <w:lvlText w:val="(%1)"/>
      <w:lvlJc w:val="left"/>
      <w:pPr>
        <w:ind w:left="467" w:hanging="328"/>
      </w:pPr>
      <w:rPr>
        <w:rFonts w:ascii="Times New Roman" w:eastAsia="Times New Roman" w:hAnsi="Times New Roman" w:cs="Times New Roman" w:hint="default"/>
        <w:b w:val="0"/>
        <w:bCs w:val="0"/>
        <w:i w:val="0"/>
        <w:iCs w:val="0"/>
        <w:w w:val="100"/>
        <w:sz w:val="24"/>
        <w:szCs w:val="24"/>
        <w:lang w:val="en-US" w:eastAsia="en-US" w:bidi="ar-SA"/>
      </w:rPr>
    </w:lvl>
    <w:lvl w:ilvl="1" w:tplc="62C80EB6">
      <w:start w:val="1"/>
      <w:numFmt w:val="lowerLetter"/>
      <w:lvlText w:val="(%2)"/>
      <w:lvlJc w:val="left"/>
      <w:pPr>
        <w:ind w:left="860" w:hanging="360"/>
      </w:pPr>
      <w:rPr>
        <w:rFonts w:ascii="Times New Roman" w:eastAsia="Times New Roman" w:hAnsi="Times New Roman" w:cs="Times New Roman" w:hint="default"/>
        <w:b w:val="0"/>
        <w:bCs w:val="0"/>
        <w:i/>
        <w:iCs/>
        <w:w w:val="99"/>
        <w:sz w:val="24"/>
        <w:szCs w:val="24"/>
        <w:lang w:val="en-US" w:eastAsia="en-US" w:bidi="ar-SA"/>
      </w:rPr>
    </w:lvl>
    <w:lvl w:ilvl="2" w:tplc="C6565DE8">
      <w:numFmt w:val="bullet"/>
      <w:lvlText w:val="•"/>
      <w:lvlJc w:val="left"/>
      <w:pPr>
        <w:ind w:left="1837" w:hanging="360"/>
      </w:pPr>
      <w:rPr>
        <w:rFonts w:hint="default"/>
        <w:lang w:val="en-US" w:eastAsia="en-US" w:bidi="ar-SA"/>
      </w:rPr>
    </w:lvl>
    <w:lvl w:ilvl="3" w:tplc="E40A17AA">
      <w:numFmt w:val="bullet"/>
      <w:lvlText w:val="•"/>
      <w:lvlJc w:val="left"/>
      <w:pPr>
        <w:ind w:left="2815" w:hanging="360"/>
      </w:pPr>
      <w:rPr>
        <w:rFonts w:hint="default"/>
        <w:lang w:val="en-US" w:eastAsia="en-US" w:bidi="ar-SA"/>
      </w:rPr>
    </w:lvl>
    <w:lvl w:ilvl="4" w:tplc="285EFDDA">
      <w:numFmt w:val="bullet"/>
      <w:lvlText w:val="•"/>
      <w:lvlJc w:val="left"/>
      <w:pPr>
        <w:ind w:left="3793" w:hanging="360"/>
      </w:pPr>
      <w:rPr>
        <w:rFonts w:hint="default"/>
        <w:lang w:val="en-US" w:eastAsia="en-US" w:bidi="ar-SA"/>
      </w:rPr>
    </w:lvl>
    <w:lvl w:ilvl="5" w:tplc="57A81B80">
      <w:numFmt w:val="bullet"/>
      <w:lvlText w:val="•"/>
      <w:lvlJc w:val="left"/>
      <w:pPr>
        <w:ind w:left="4771" w:hanging="360"/>
      </w:pPr>
      <w:rPr>
        <w:rFonts w:hint="default"/>
        <w:lang w:val="en-US" w:eastAsia="en-US" w:bidi="ar-SA"/>
      </w:rPr>
    </w:lvl>
    <w:lvl w:ilvl="6" w:tplc="7074800E">
      <w:numFmt w:val="bullet"/>
      <w:lvlText w:val="•"/>
      <w:lvlJc w:val="left"/>
      <w:pPr>
        <w:ind w:left="5748" w:hanging="360"/>
      </w:pPr>
      <w:rPr>
        <w:rFonts w:hint="default"/>
        <w:lang w:val="en-US" w:eastAsia="en-US" w:bidi="ar-SA"/>
      </w:rPr>
    </w:lvl>
    <w:lvl w:ilvl="7" w:tplc="0542F580">
      <w:numFmt w:val="bullet"/>
      <w:lvlText w:val="•"/>
      <w:lvlJc w:val="left"/>
      <w:pPr>
        <w:ind w:left="6726" w:hanging="360"/>
      </w:pPr>
      <w:rPr>
        <w:rFonts w:hint="default"/>
        <w:lang w:val="en-US" w:eastAsia="en-US" w:bidi="ar-SA"/>
      </w:rPr>
    </w:lvl>
    <w:lvl w:ilvl="8" w:tplc="E3640D92">
      <w:numFmt w:val="bullet"/>
      <w:lvlText w:val="•"/>
      <w:lvlJc w:val="left"/>
      <w:pPr>
        <w:ind w:left="7704" w:hanging="360"/>
      </w:pPr>
      <w:rPr>
        <w:rFonts w:hint="default"/>
        <w:lang w:val="en-US" w:eastAsia="en-US" w:bidi="ar-SA"/>
      </w:rPr>
    </w:lvl>
  </w:abstractNum>
  <w:abstractNum w:abstractNumId="33" w15:restartNumberingAfterBreak="0">
    <w:nsid w:val="7CC976C9"/>
    <w:multiLevelType w:val="hybridMultilevel"/>
    <w:tmpl w:val="B260A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4"/>
  </w:num>
  <w:num w:numId="4">
    <w:abstractNumId w:val="27"/>
  </w:num>
  <w:num w:numId="5">
    <w:abstractNumId w:val="15"/>
  </w:num>
  <w:num w:numId="6">
    <w:abstractNumId w:val="14"/>
  </w:num>
  <w:num w:numId="7">
    <w:abstractNumId w:val="9"/>
  </w:num>
  <w:num w:numId="8">
    <w:abstractNumId w:val="26"/>
  </w:num>
  <w:num w:numId="9">
    <w:abstractNumId w:val="29"/>
  </w:num>
  <w:num w:numId="10">
    <w:abstractNumId w:val="2"/>
  </w:num>
  <w:num w:numId="11">
    <w:abstractNumId w:val="19"/>
  </w:num>
  <w:num w:numId="12">
    <w:abstractNumId w:val="0"/>
  </w:num>
  <w:num w:numId="13">
    <w:abstractNumId w:val="6"/>
  </w:num>
  <w:num w:numId="14">
    <w:abstractNumId w:val="1"/>
  </w:num>
  <w:num w:numId="15">
    <w:abstractNumId w:val="5"/>
  </w:num>
  <w:num w:numId="16">
    <w:abstractNumId w:val="28"/>
  </w:num>
  <w:num w:numId="17">
    <w:abstractNumId w:val="30"/>
  </w:num>
  <w:num w:numId="18">
    <w:abstractNumId w:val="22"/>
  </w:num>
  <w:num w:numId="19">
    <w:abstractNumId w:val="24"/>
  </w:num>
  <w:num w:numId="20">
    <w:abstractNumId w:val="23"/>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31"/>
  </w:num>
  <w:num w:numId="24">
    <w:abstractNumId w:val="12"/>
  </w:num>
  <w:num w:numId="25">
    <w:abstractNumId w:val="33"/>
  </w:num>
  <w:num w:numId="26">
    <w:abstractNumId w:val="8"/>
  </w:num>
  <w:num w:numId="27">
    <w:abstractNumId w:val="11"/>
  </w:num>
  <w:num w:numId="28">
    <w:abstractNumId w:val="17"/>
  </w:num>
  <w:num w:numId="29">
    <w:abstractNumId w:val="18"/>
  </w:num>
  <w:num w:numId="30">
    <w:abstractNumId w:val="25"/>
  </w:num>
  <w:num w:numId="31">
    <w:abstractNumId w:val="13"/>
  </w:num>
  <w:num w:numId="32">
    <w:abstractNumId w:val="32"/>
  </w:num>
  <w:num w:numId="33">
    <w:abstractNumId w:val="3"/>
  </w:num>
  <w:num w:numId="34">
    <w:abstractNumId w:val="16"/>
  </w:num>
  <w:num w:numId="35">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4"/>
  <w:removePersonalInformation/>
  <w:removeDateAndTime/>
  <w:proofState w:spelling="clean" w:grammar="clean"/>
  <w:defaultTabStop w:val="720"/>
  <w:characterSpacingControl w:val="doNotCompress"/>
  <w:hdrShapeDefaults>
    <o:shapedefaults v:ext="edit" spidmax="112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FD4"/>
    <w:rsid w:val="00000F4C"/>
    <w:rsid w:val="0000182E"/>
    <w:rsid w:val="000024F4"/>
    <w:rsid w:val="00002962"/>
    <w:rsid w:val="000032C8"/>
    <w:rsid w:val="000035F1"/>
    <w:rsid w:val="000036E3"/>
    <w:rsid w:val="00003E15"/>
    <w:rsid w:val="00003F34"/>
    <w:rsid w:val="000041A9"/>
    <w:rsid w:val="00004731"/>
    <w:rsid w:val="00004956"/>
    <w:rsid w:val="00004EED"/>
    <w:rsid w:val="00004EF8"/>
    <w:rsid w:val="0000508C"/>
    <w:rsid w:val="000050BC"/>
    <w:rsid w:val="00005400"/>
    <w:rsid w:val="000056E1"/>
    <w:rsid w:val="000057D4"/>
    <w:rsid w:val="00006989"/>
    <w:rsid w:val="00006A3D"/>
    <w:rsid w:val="00006D5E"/>
    <w:rsid w:val="00007221"/>
    <w:rsid w:val="00007786"/>
    <w:rsid w:val="00007843"/>
    <w:rsid w:val="00007A80"/>
    <w:rsid w:val="00007BE1"/>
    <w:rsid w:val="000107BF"/>
    <w:rsid w:val="00010B37"/>
    <w:rsid w:val="00011153"/>
    <w:rsid w:val="00011316"/>
    <w:rsid w:val="0001151D"/>
    <w:rsid w:val="00011807"/>
    <w:rsid w:val="00011C61"/>
    <w:rsid w:val="000123F2"/>
    <w:rsid w:val="00012420"/>
    <w:rsid w:val="0001274D"/>
    <w:rsid w:val="00012BF4"/>
    <w:rsid w:val="00012DC0"/>
    <w:rsid w:val="00012EAE"/>
    <w:rsid w:val="00013998"/>
    <w:rsid w:val="00013D11"/>
    <w:rsid w:val="00013FBB"/>
    <w:rsid w:val="00015139"/>
    <w:rsid w:val="00015B0D"/>
    <w:rsid w:val="00015E4F"/>
    <w:rsid w:val="00015F24"/>
    <w:rsid w:val="00015FAF"/>
    <w:rsid w:val="00016143"/>
    <w:rsid w:val="000166FC"/>
    <w:rsid w:val="000167DA"/>
    <w:rsid w:val="000169CC"/>
    <w:rsid w:val="000178A0"/>
    <w:rsid w:val="00017B07"/>
    <w:rsid w:val="00017B24"/>
    <w:rsid w:val="00017E96"/>
    <w:rsid w:val="000201A9"/>
    <w:rsid w:val="000201C6"/>
    <w:rsid w:val="00020585"/>
    <w:rsid w:val="000209C2"/>
    <w:rsid w:val="000209E2"/>
    <w:rsid w:val="000210CB"/>
    <w:rsid w:val="000213F0"/>
    <w:rsid w:val="00021EE5"/>
    <w:rsid w:val="00021F59"/>
    <w:rsid w:val="000228B3"/>
    <w:rsid w:val="00022925"/>
    <w:rsid w:val="00022B14"/>
    <w:rsid w:val="000230C9"/>
    <w:rsid w:val="000234C0"/>
    <w:rsid w:val="00023618"/>
    <w:rsid w:val="0002381D"/>
    <w:rsid w:val="0002387B"/>
    <w:rsid w:val="000239F2"/>
    <w:rsid w:val="00024196"/>
    <w:rsid w:val="000242E9"/>
    <w:rsid w:val="00024AD1"/>
    <w:rsid w:val="0002536A"/>
    <w:rsid w:val="00025F6F"/>
    <w:rsid w:val="0002627C"/>
    <w:rsid w:val="000262E1"/>
    <w:rsid w:val="00026945"/>
    <w:rsid w:val="00026DBE"/>
    <w:rsid w:val="00027102"/>
    <w:rsid w:val="0002765A"/>
    <w:rsid w:val="00027922"/>
    <w:rsid w:val="00030653"/>
    <w:rsid w:val="000310BE"/>
    <w:rsid w:val="00031839"/>
    <w:rsid w:val="00031C2B"/>
    <w:rsid w:val="00031F7F"/>
    <w:rsid w:val="00031F9C"/>
    <w:rsid w:val="0003203A"/>
    <w:rsid w:val="0003224C"/>
    <w:rsid w:val="000328A1"/>
    <w:rsid w:val="00033001"/>
    <w:rsid w:val="0003321E"/>
    <w:rsid w:val="00033BC0"/>
    <w:rsid w:val="00034023"/>
    <w:rsid w:val="0003462A"/>
    <w:rsid w:val="0003479A"/>
    <w:rsid w:val="000348D4"/>
    <w:rsid w:val="00034AD1"/>
    <w:rsid w:val="00034B23"/>
    <w:rsid w:val="00034B3C"/>
    <w:rsid w:val="00034CC6"/>
    <w:rsid w:val="0003561F"/>
    <w:rsid w:val="00035C62"/>
    <w:rsid w:val="00035EC6"/>
    <w:rsid w:val="00035FE8"/>
    <w:rsid w:val="00036CA2"/>
    <w:rsid w:val="000373C8"/>
    <w:rsid w:val="00037863"/>
    <w:rsid w:val="00037BAE"/>
    <w:rsid w:val="00037C62"/>
    <w:rsid w:val="00037C9E"/>
    <w:rsid w:val="00040C52"/>
    <w:rsid w:val="000410BA"/>
    <w:rsid w:val="0004140B"/>
    <w:rsid w:val="0004182E"/>
    <w:rsid w:val="00042358"/>
    <w:rsid w:val="000426F9"/>
    <w:rsid w:val="00042811"/>
    <w:rsid w:val="00042F00"/>
    <w:rsid w:val="0004304C"/>
    <w:rsid w:val="0004314F"/>
    <w:rsid w:val="0004399A"/>
    <w:rsid w:val="000439C8"/>
    <w:rsid w:val="00043A36"/>
    <w:rsid w:val="00043AFE"/>
    <w:rsid w:val="00043C8A"/>
    <w:rsid w:val="0004457C"/>
    <w:rsid w:val="00044B3B"/>
    <w:rsid w:val="00044D37"/>
    <w:rsid w:val="0004520A"/>
    <w:rsid w:val="0004575B"/>
    <w:rsid w:val="00045C86"/>
    <w:rsid w:val="00045C8B"/>
    <w:rsid w:val="00045EC0"/>
    <w:rsid w:val="000463C8"/>
    <w:rsid w:val="00046418"/>
    <w:rsid w:val="00046983"/>
    <w:rsid w:val="000471FA"/>
    <w:rsid w:val="000472B5"/>
    <w:rsid w:val="0005028A"/>
    <w:rsid w:val="0005039D"/>
    <w:rsid w:val="000504D5"/>
    <w:rsid w:val="00050C36"/>
    <w:rsid w:val="00050DD5"/>
    <w:rsid w:val="000512B6"/>
    <w:rsid w:val="00051491"/>
    <w:rsid w:val="00051967"/>
    <w:rsid w:val="00051D4B"/>
    <w:rsid w:val="00051DE2"/>
    <w:rsid w:val="000521AE"/>
    <w:rsid w:val="000523AB"/>
    <w:rsid w:val="00052599"/>
    <w:rsid w:val="0005297B"/>
    <w:rsid w:val="00052A24"/>
    <w:rsid w:val="00053712"/>
    <w:rsid w:val="000539A1"/>
    <w:rsid w:val="00053ABB"/>
    <w:rsid w:val="00053F29"/>
    <w:rsid w:val="00054484"/>
    <w:rsid w:val="0005462D"/>
    <w:rsid w:val="00054772"/>
    <w:rsid w:val="00054A77"/>
    <w:rsid w:val="00055D56"/>
    <w:rsid w:val="00055F86"/>
    <w:rsid w:val="00056711"/>
    <w:rsid w:val="00057447"/>
    <w:rsid w:val="000579BE"/>
    <w:rsid w:val="000603B4"/>
    <w:rsid w:val="00061323"/>
    <w:rsid w:val="0006164D"/>
    <w:rsid w:val="00061AB0"/>
    <w:rsid w:val="00061C94"/>
    <w:rsid w:val="00062E36"/>
    <w:rsid w:val="000630C5"/>
    <w:rsid w:val="000632F9"/>
    <w:rsid w:val="0006402C"/>
    <w:rsid w:val="000640DF"/>
    <w:rsid w:val="00064A59"/>
    <w:rsid w:val="00064C3E"/>
    <w:rsid w:val="00065A94"/>
    <w:rsid w:val="00066263"/>
    <w:rsid w:val="000664CF"/>
    <w:rsid w:val="00067595"/>
    <w:rsid w:val="000705D7"/>
    <w:rsid w:val="000706B8"/>
    <w:rsid w:val="000709AF"/>
    <w:rsid w:val="0007103B"/>
    <w:rsid w:val="000712EB"/>
    <w:rsid w:val="00071B31"/>
    <w:rsid w:val="00072B2F"/>
    <w:rsid w:val="00072DDF"/>
    <w:rsid w:val="00073156"/>
    <w:rsid w:val="0007378C"/>
    <w:rsid w:val="00073972"/>
    <w:rsid w:val="00073E5B"/>
    <w:rsid w:val="00074425"/>
    <w:rsid w:val="00074EEF"/>
    <w:rsid w:val="000753DA"/>
    <w:rsid w:val="00075B66"/>
    <w:rsid w:val="00075BBC"/>
    <w:rsid w:val="00076481"/>
    <w:rsid w:val="0007659D"/>
    <w:rsid w:val="000769E5"/>
    <w:rsid w:val="00076C7F"/>
    <w:rsid w:val="00076E7F"/>
    <w:rsid w:val="00076EF3"/>
    <w:rsid w:val="00077658"/>
    <w:rsid w:val="00077FB1"/>
    <w:rsid w:val="000801DF"/>
    <w:rsid w:val="0008020E"/>
    <w:rsid w:val="00080B77"/>
    <w:rsid w:val="00080C9E"/>
    <w:rsid w:val="00080DD4"/>
    <w:rsid w:val="000810EC"/>
    <w:rsid w:val="000817D2"/>
    <w:rsid w:val="00081F8D"/>
    <w:rsid w:val="00083014"/>
    <w:rsid w:val="000830B0"/>
    <w:rsid w:val="00083501"/>
    <w:rsid w:val="00083C3B"/>
    <w:rsid w:val="00083EE7"/>
    <w:rsid w:val="00084003"/>
    <w:rsid w:val="0008411A"/>
    <w:rsid w:val="000842C9"/>
    <w:rsid w:val="0008448A"/>
    <w:rsid w:val="00084C95"/>
    <w:rsid w:val="00084CB7"/>
    <w:rsid w:val="000852EE"/>
    <w:rsid w:val="00085770"/>
    <w:rsid w:val="00085B68"/>
    <w:rsid w:val="0008680A"/>
    <w:rsid w:val="000870CE"/>
    <w:rsid w:val="00087437"/>
    <w:rsid w:val="00087500"/>
    <w:rsid w:val="000876B6"/>
    <w:rsid w:val="00087B74"/>
    <w:rsid w:val="00087DBE"/>
    <w:rsid w:val="0009049A"/>
    <w:rsid w:val="00090C36"/>
    <w:rsid w:val="00090E4A"/>
    <w:rsid w:val="0009155A"/>
    <w:rsid w:val="00091A59"/>
    <w:rsid w:val="00091DC0"/>
    <w:rsid w:val="00092541"/>
    <w:rsid w:val="0009316B"/>
    <w:rsid w:val="000931B7"/>
    <w:rsid w:val="00093414"/>
    <w:rsid w:val="0009390C"/>
    <w:rsid w:val="00093C44"/>
    <w:rsid w:val="00093E85"/>
    <w:rsid w:val="0009519C"/>
    <w:rsid w:val="0009584A"/>
    <w:rsid w:val="00095B03"/>
    <w:rsid w:val="00095B22"/>
    <w:rsid w:val="00095B2F"/>
    <w:rsid w:val="00095E4D"/>
    <w:rsid w:val="00096411"/>
    <w:rsid w:val="00097B9A"/>
    <w:rsid w:val="00097BD7"/>
    <w:rsid w:val="000A00A5"/>
    <w:rsid w:val="000A00A7"/>
    <w:rsid w:val="000A0723"/>
    <w:rsid w:val="000A11AE"/>
    <w:rsid w:val="000A12A2"/>
    <w:rsid w:val="000A1F7C"/>
    <w:rsid w:val="000A2083"/>
    <w:rsid w:val="000A2A12"/>
    <w:rsid w:val="000A2A23"/>
    <w:rsid w:val="000A3700"/>
    <w:rsid w:val="000A3A26"/>
    <w:rsid w:val="000A41EC"/>
    <w:rsid w:val="000A4920"/>
    <w:rsid w:val="000A494B"/>
    <w:rsid w:val="000A54AE"/>
    <w:rsid w:val="000A6077"/>
    <w:rsid w:val="000A622C"/>
    <w:rsid w:val="000A6477"/>
    <w:rsid w:val="000A6CB7"/>
    <w:rsid w:val="000B04D5"/>
    <w:rsid w:val="000B100B"/>
    <w:rsid w:val="000B11E8"/>
    <w:rsid w:val="000B1388"/>
    <w:rsid w:val="000B16E2"/>
    <w:rsid w:val="000B1818"/>
    <w:rsid w:val="000B185D"/>
    <w:rsid w:val="000B1DD0"/>
    <w:rsid w:val="000B20A9"/>
    <w:rsid w:val="000B2694"/>
    <w:rsid w:val="000B2DC5"/>
    <w:rsid w:val="000B3544"/>
    <w:rsid w:val="000B3DA4"/>
    <w:rsid w:val="000B4F25"/>
    <w:rsid w:val="000B505B"/>
    <w:rsid w:val="000B59FB"/>
    <w:rsid w:val="000B6117"/>
    <w:rsid w:val="000B6118"/>
    <w:rsid w:val="000B6CC8"/>
    <w:rsid w:val="000B6FAE"/>
    <w:rsid w:val="000B7601"/>
    <w:rsid w:val="000B77C1"/>
    <w:rsid w:val="000B7F0C"/>
    <w:rsid w:val="000C0159"/>
    <w:rsid w:val="000C082B"/>
    <w:rsid w:val="000C0ACA"/>
    <w:rsid w:val="000C0F26"/>
    <w:rsid w:val="000C12B9"/>
    <w:rsid w:val="000C173B"/>
    <w:rsid w:val="000C18C0"/>
    <w:rsid w:val="000C19D4"/>
    <w:rsid w:val="000C1F49"/>
    <w:rsid w:val="000C2519"/>
    <w:rsid w:val="000C2830"/>
    <w:rsid w:val="000C39E5"/>
    <w:rsid w:val="000C3D01"/>
    <w:rsid w:val="000C4740"/>
    <w:rsid w:val="000C492A"/>
    <w:rsid w:val="000C4B86"/>
    <w:rsid w:val="000C4C99"/>
    <w:rsid w:val="000C5516"/>
    <w:rsid w:val="000C5C98"/>
    <w:rsid w:val="000C5E31"/>
    <w:rsid w:val="000C6426"/>
    <w:rsid w:val="000C66F9"/>
    <w:rsid w:val="000C76F2"/>
    <w:rsid w:val="000C7878"/>
    <w:rsid w:val="000C787F"/>
    <w:rsid w:val="000C7924"/>
    <w:rsid w:val="000C7A88"/>
    <w:rsid w:val="000D02DE"/>
    <w:rsid w:val="000D0989"/>
    <w:rsid w:val="000D0A27"/>
    <w:rsid w:val="000D0C7E"/>
    <w:rsid w:val="000D1C7A"/>
    <w:rsid w:val="000D1D0A"/>
    <w:rsid w:val="000D2186"/>
    <w:rsid w:val="000D2650"/>
    <w:rsid w:val="000D2BD5"/>
    <w:rsid w:val="000D2E90"/>
    <w:rsid w:val="000D2F9B"/>
    <w:rsid w:val="000D30C8"/>
    <w:rsid w:val="000D3DCB"/>
    <w:rsid w:val="000D42E4"/>
    <w:rsid w:val="000D446B"/>
    <w:rsid w:val="000D4D25"/>
    <w:rsid w:val="000D4DC5"/>
    <w:rsid w:val="000D573E"/>
    <w:rsid w:val="000D5A31"/>
    <w:rsid w:val="000D627A"/>
    <w:rsid w:val="000D64A4"/>
    <w:rsid w:val="000D64B0"/>
    <w:rsid w:val="000D65AD"/>
    <w:rsid w:val="000D6C2C"/>
    <w:rsid w:val="000D7095"/>
    <w:rsid w:val="000D70E5"/>
    <w:rsid w:val="000D7583"/>
    <w:rsid w:val="000D7C50"/>
    <w:rsid w:val="000E015D"/>
    <w:rsid w:val="000E066D"/>
    <w:rsid w:val="000E0917"/>
    <w:rsid w:val="000E0A80"/>
    <w:rsid w:val="000E144B"/>
    <w:rsid w:val="000E15A6"/>
    <w:rsid w:val="000E224F"/>
    <w:rsid w:val="000E2557"/>
    <w:rsid w:val="000E2818"/>
    <w:rsid w:val="000E2824"/>
    <w:rsid w:val="000E2C43"/>
    <w:rsid w:val="000E2D62"/>
    <w:rsid w:val="000E35B1"/>
    <w:rsid w:val="000E37D1"/>
    <w:rsid w:val="000E3846"/>
    <w:rsid w:val="000E4B2E"/>
    <w:rsid w:val="000E52E2"/>
    <w:rsid w:val="000E5BDC"/>
    <w:rsid w:val="000E787C"/>
    <w:rsid w:val="000E7FB4"/>
    <w:rsid w:val="000F0227"/>
    <w:rsid w:val="000F03C4"/>
    <w:rsid w:val="000F051F"/>
    <w:rsid w:val="000F0FAE"/>
    <w:rsid w:val="000F1023"/>
    <w:rsid w:val="000F15D0"/>
    <w:rsid w:val="000F160C"/>
    <w:rsid w:val="000F1C9A"/>
    <w:rsid w:val="000F2DA5"/>
    <w:rsid w:val="000F3487"/>
    <w:rsid w:val="000F382B"/>
    <w:rsid w:val="000F3DCA"/>
    <w:rsid w:val="000F412C"/>
    <w:rsid w:val="000F4249"/>
    <w:rsid w:val="000F4617"/>
    <w:rsid w:val="000F4732"/>
    <w:rsid w:val="000F4A5F"/>
    <w:rsid w:val="000F4CCC"/>
    <w:rsid w:val="000F4D43"/>
    <w:rsid w:val="000F4ED3"/>
    <w:rsid w:val="000F5307"/>
    <w:rsid w:val="000F66D8"/>
    <w:rsid w:val="000F6E3B"/>
    <w:rsid w:val="000F704B"/>
    <w:rsid w:val="000F745B"/>
    <w:rsid w:val="00100873"/>
    <w:rsid w:val="00101464"/>
    <w:rsid w:val="001019FF"/>
    <w:rsid w:val="00101BC0"/>
    <w:rsid w:val="00102C0C"/>
    <w:rsid w:val="00102C8B"/>
    <w:rsid w:val="001032EA"/>
    <w:rsid w:val="001033F0"/>
    <w:rsid w:val="00103429"/>
    <w:rsid w:val="00103A89"/>
    <w:rsid w:val="00103AAD"/>
    <w:rsid w:val="00103BC3"/>
    <w:rsid w:val="00103CD1"/>
    <w:rsid w:val="00103CFD"/>
    <w:rsid w:val="00103E5C"/>
    <w:rsid w:val="00105865"/>
    <w:rsid w:val="00105A16"/>
    <w:rsid w:val="00105D4C"/>
    <w:rsid w:val="001060C7"/>
    <w:rsid w:val="001063A4"/>
    <w:rsid w:val="0010640A"/>
    <w:rsid w:val="00106BA2"/>
    <w:rsid w:val="00106EA1"/>
    <w:rsid w:val="00106F24"/>
    <w:rsid w:val="00107082"/>
    <w:rsid w:val="00107878"/>
    <w:rsid w:val="00110B3C"/>
    <w:rsid w:val="00111A1C"/>
    <w:rsid w:val="00111E69"/>
    <w:rsid w:val="00112060"/>
    <w:rsid w:val="00112332"/>
    <w:rsid w:val="0011251B"/>
    <w:rsid w:val="00112534"/>
    <w:rsid w:val="001125F6"/>
    <w:rsid w:val="0011267F"/>
    <w:rsid w:val="00112858"/>
    <w:rsid w:val="00112909"/>
    <w:rsid w:val="00112AE3"/>
    <w:rsid w:val="00112FD5"/>
    <w:rsid w:val="00113180"/>
    <w:rsid w:val="001132B3"/>
    <w:rsid w:val="001133D3"/>
    <w:rsid w:val="00113842"/>
    <w:rsid w:val="00113865"/>
    <w:rsid w:val="00113A74"/>
    <w:rsid w:val="00113BF5"/>
    <w:rsid w:val="00114286"/>
    <w:rsid w:val="0011466C"/>
    <w:rsid w:val="001150BD"/>
    <w:rsid w:val="00115F34"/>
    <w:rsid w:val="00116865"/>
    <w:rsid w:val="00116AB8"/>
    <w:rsid w:val="00116B61"/>
    <w:rsid w:val="00117521"/>
    <w:rsid w:val="00117656"/>
    <w:rsid w:val="00117A23"/>
    <w:rsid w:val="001208DD"/>
    <w:rsid w:val="00120E28"/>
    <w:rsid w:val="001213AC"/>
    <w:rsid w:val="00121E06"/>
    <w:rsid w:val="00121FD1"/>
    <w:rsid w:val="00122668"/>
    <w:rsid w:val="00122DE2"/>
    <w:rsid w:val="00123022"/>
    <w:rsid w:val="00123B37"/>
    <w:rsid w:val="00123C69"/>
    <w:rsid w:val="0012445B"/>
    <w:rsid w:val="001249F6"/>
    <w:rsid w:val="00124BEB"/>
    <w:rsid w:val="00124C16"/>
    <w:rsid w:val="001255E5"/>
    <w:rsid w:val="0012580D"/>
    <w:rsid w:val="00125A98"/>
    <w:rsid w:val="00126A63"/>
    <w:rsid w:val="00126C05"/>
    <w:rsid w:val="00126C54"/>
    <w:rsid w:val="00127892"/>
    <w:rsid w:val="001279F8"/>
    <w:rsid w:val="00127BFC"/>
    <w:rsid w:val="0013002E"/>
    <w:rsid w:val="00130253"/>
    <w:rsid w:val="0013085B"/>
    <w:rsid w:val="00130D47"/>
    <w:rsid w:val="00130DA7"/>
    <w:rsid w:val="00130FAF"/>
    <w:rsid w:val="001316E4"/>
    <w:rsid w:val="00131F19"/>
    <w:rsid w:val="0013244E"/>
    <w:rsid w:val="001328C0"/>
    <w:rsid w:val="001328F7"/>
    <w:rsid w:val="00132926"/>
    <w:rsid w:val="00133D38"/>
    <w:rsid w:val="001343A3"/>
    <w:rsid w:val="001346DE"/>
    <w:rsid w:val="00134AA1"/>
    <w:rsid w:val="00134D5E"/>
    <w:rsid w:val="00134EB1"/>
    <w:rsid w:val="00135842"/>
    <w:rsid w:val="001364EA"/>
    <w:rsid w:val="001369DA"/>
    <w:rsid w:val="00136A9F"/>
    <w:rsid w:val="00136CE1"/>
    <w:rsid w:val="0013798A"/>
    <w:rsid w:val="00137DC7"/>
    <w:rsid w:val="00137FBD"/>
    <w:rsid w:val="00140298"/>
    <w:rsid w:val="00140643"/>
    <w:rsid w:val="001409C6"/>
    <w:rsid w:val="00140BC3"/>
    <w:rsid w:val="00140D53"/>
    <w:rsid w:val="00141138"/>
    <w:rsid w:val="001416D3"/>
    <w:rsid w:val="00141DBE"/>
    <w:rsid w:val="0014318C"/>
    <w:rsid w:val="00143CF5"/>
    <w:rsid w:val="00143E7E"/>
    <w:rsid w:val="0014414E"/>
    <w:rsid w:val="001444D1"/>
    <w:rsid w:val="00144550"/>
    <w:rsid w:val="001446F2"/>
    <w:rsid w:val="0014489D"/>
    <w:rsid w:val="00144944"/>
    <w:rsid w:val="00145692"/>
    <w:rsid w:val="00145AC4"/>
    <w:rsid w:val="00146F00"/>
    <w:rsid w:val="00147147"/>
    <w:rsid w:val="001471D0"/>
    <w:rsid w:val="00147766"/>
    <w:rsid w:val="001479AA"/>
    <w:rsid w:val="001479E1"/>
    <w:rsid w:val="00147B17"/>
    <w:rsid w:val="001503D5"/>
    <w:rsid w:val="001513A0"/>
    <w:rsid w:val="001514A9"/>
    <w:rsid w:val="001518BE"/>
    <w:rsid w:val="001519B2"/>
    <w:rsid w:val="001526D9"/>
    <w:rsid w:val="0015297A"/>
    <w:rsid w:val="00152C06"/>
    <w:rsid w:val="00152C74"/>
    <w:rsid w:val="00153065"/>
    <w:rsid w:val="001531F2"/>
    <w:rsid w:val="00153625"/>
    <w:rsid w:val="00153707"/>
    <w:rsid w:val="0015397F"/>
    <w:rsid w:val="00153B15"/>
    <w:rsid w:val="001541AB"/>
    <w:rsid w:val="00154982"/>
    <w:rsid w:val="00154DBC"/>
    <w:rsid w:val="00155186"/>
    <w:rsid w:val="00155DE2"/>
    <w:rsid w:val="00156057"/>
    <w:rsid w:val="0015628E"/>
    <w:rsid w:val="001571A8"/>
    <w:rsid w:val="00157252"/>
    <w:rsid w:val="00157D06"/>
    <w:rsid w:val="0016012F"/>
    <w:rsid w:val="00160318"/>
    <w:rsid w:val="00160944"/>
    <w:rsid w:val="00160D69"/>
    <w:rsid w:val="00160DA2"/>
    <w:rsid w:val="00161856"/>
    <w:rsid w:val="0016190E"/>
    <w:rsid w:val="00163CEB"/>
    <w:rsid w:val="0016439B"/>
    <w:rsid w:val="001648E2"/>
    <w:rsid w:val="00164CEA"/>
    <w:rsid w:val="001655B9"/>
    <w:rsid w:val="001657F2"/>
    <w:rsid w:val="00165A98"/>
    <w:rsid w:val="0016670B"/>
    <w:rsid w:val="001674B9"/>
    <w:rsid w:val="00167C49"/>
    <w:rsid w:val="001701AF"/>
    <w:rsid w:val="00170232"/>
    <w:rsid w:val="001703ED"/>
    <w:rsid w:val="00171141"/>
    <w:rsid w:val="0017264B"/>
    <w:rsid w:val="00172A2E"/>
    <w:rsid w:val="00173300"/>
    <w:rsid w:val="00173E36"/>
    <w:rsid w:val="00173F0B"/>
    <w:rsid w:val="001745E1"/>
    <w:rsid w:val="00175619"/>
    <w:rsid w:val="00175660"/>
    <w:rsid w:val="001762B3"/>
    <w:rsid w:val="001768D7"/>
    <w:rsid w:val="0017690D"/>
    <w:rsid w:val="001769C6"/>
    <w:rsid w:val="00176D8C"/>
    <w:rsid w:val="00177757"/>
    <w:rsid w:val="00177C01"/>
    <w:rsid w:val="00177DE3"/>
    <w:rsid w:val="001805F0"/>
    <w:rsid w:val="001817E2"/>
    <w:rsid w:val="00181FE9"/>
    <w:rsid w:val="0018231D"/>
    <w:rsid w:val="00182BA0"/>
    <w:rsid w:val="00182CD8"/>
    <w:rsid w:val="00182F2A"/>
    <w:rsid w:val="001839F3"/>
    <w:rsid w:val="00183B26"/>
    <w:rsid w:val="00183BE7"/>
    <w:rsid w:val="00183F48"/>
    <w:rsid w:val="001846AD"/>
    <w:rsid w:val="00184709"/>
    <w:rsid w:val="0018472C"/>
    <w:rsid w:val="00185ECD"/>
    <w:rsid w:val="001861B3"/>
    <w:rsid w:val="0018683F"/>
    <w:rsid w:val="00186D2F"/>
    <w:rsid w:val="001874FB"/>
    <w:rsid w:val="00187781"/>
    <w:rsid w:val="00187B7F"/>
    <w:rsid w:val="00187FE2"/>
    <w:rsid w:val="00190503"/>
    <w:rsid w:val="001905AB"/>
    <w:rsid w:val="0019088B"/>
    <w:rsid w:val="00190E1D"/>
    <w:rsid w:val="00191013"/>
    <w:rsid w:val="00191060"/>
    <w:rsid w:val="00191497"/>
    <w:rsid w:val="001918F0"/>
    <w:rsid w:val="0019208F"/>
    <w:rsid w:val="00192810"/>
    <w:rsid w:val="001931F9"/>
    <w:rsid w:val="0019360F"/>
    <w:rsid w:val="00194330"/>
    <w:rsid w:val="0019474E"/>
    <w:rsid w:val="001947BA"/>
    <w:rsid w:val="00194E98"/>
    <w:rsid w:val="00194EC2"/>
    <w:rsid w:val="00194FF3"/>
    <w:rsid w:val="001950C3"/>
    <w:rsid w:val="001953B5"/>
    <w:rsid w:val="0019565F"/>
    <w:rsid w:val="0019568C"/>
    <w:rsid w:val="0019585D"/>
    <w:rsid w:val="0019695E"/>
    <w:rsid w:val="00197557"/>
    <w:rsid w:val="001A007C"/>
    <w:rsid w:val="001A0B73"/>
    <w:rsid w:val="001A0F67"/>
    <w:rsid w:val="001A0FC1"/>
    <w:rsid w:val="001A18F4"/>
    <w:rsid w:val="001A1AA6"/>
    <w:rsid w:val="001A1FE9"/>
    <w:rsid w:val="001A2224"/>
    <w:rsid w:val="001A2249"/>
    <w:rsid w:val="001A2708"/>
    <w:rsid w:val="001A2E30"/>
    <w:rsid w:val="001A2ECF"/>
    <w:rsid w:val="001A35F3"/>
    <w:rsid w:val="001A37B8"/>
    <w:rsid w:val="001A3C19"/>
    <w:rsid w:val="001A3FA9"/>
    <w:rsid w:val="001A4384"/>
    <w:rsid w:val="001A4C54"/>
    <w:rsid w:val="001A520C"/>
    <w:rsid w:val="001A522E"/>
    <w:rsid w:val="001A531A"/>
    <w:rsid w:val="001A5340"/>
    <w:rsid w:val="001A5A68"/>
    <w:rsid w:val="001A5B74"/>
    <w:rsid w:val="001A60F7"/>
    <w:rsid w:val="001A61F1"/>
    <w:rsid w:val="001A625A"/>
    <w:rsid w:val="001A626C"/>
    <w:rsid w:val="001A73AC"/>
    <w:rsid w:val="001A7A48"/>
    <w:rsid w:val="001A7B36"/>
    <w:rsid w:val="001B0AB0"/>
    <w:rsid w:val="001B0F09"/>
    <w:rsid w:val="001B13C3"/>
    <w:rsid w:val="001B1A16"/>
    <w:rsid w:val="001B1C5E"/>
    <w:rsid w:val="001B1D3D"/>
    <w:rsid w:val="001B2027"/>
    <w:rsid w:val="001B2A26"/>
    <w:rsid w:val="001B2E96"/>
    <w:rsid w:val="001B3357"/>
    <w:rsid w:val="001B380D"/>
    <w:rsid w:val="001B3943"/>
    <w:rsid w:val="001B3A34"/>
    <w:rsid w:val="001B3B8F"/>
    <w:rsid w:val="001B40B2"/>
    <w:rsid w:val="001B4368"/>
    <w:rsid w:val="001B4478"/>
    <w:rsid w:val="001B47A4"/>
    <w:rsid w:val="001B4B22"/>
    <w:rsid w:val="001B5E9D"/>
    <w:rsid w:val="001B61B1"/>
    <w:rsid w:val="001B6622"/>
    <w:rsid w:val="001B6669"/>
    <w:rsid w:val="001B78B2"/>
    <w:rsid w:val="001B7A6C"/>
    <w:rsid w:val="001C0261"/>
    <w:rsid w:val="001C103E"/>
    <w:rsid w:val="001C11F0"/>
    <w:rsid w:val="001C19B2"/>
    <w:rsid w:val="001C2377"/>
    <w:rsid w:val="001C393B"/>
    <w:rsid w:val="001C5100"/>
    <w:rsid w:val="001C5147"/>
    <w:rsid w:val="001C5A71"/>
    <w:rsid w:val="001C5BBC"/>
    <w:rsid w:val="001C5E5B"/>
    <w:rsid w:val="001C678C"/>
    <w:rsid w:val="001C6C84"/>
    <w:rsid w:val="001C745A"/>
    <w:rsid w:val="001C7716"/>
    <w:rsid w:val="001C7E3C"/>
    <w:rsid w:val="001C7EA0"/>
    <w:rsid w:val="001D0260"/>
    <w:rsid w:val="001D0C69"/>
    <w:rsid w:val="001D119B"/>
    <w:rsid w:val="001D1313"/>
    <w:rsid w:val="001D210C"/>
    <w:rsid w:val="001D2419"/>
    <w:rsid w:val="001D26D7"/>
    <w:rsid w:val="001D29D5"/>
    <w:rsid w:val="001D3C25"/>
    <w:rsid w:val="001D3C35"/>
    <w:rsid w:val="001D44F3"/>
    <w:rsid w:val="001D4509"/>
    <w:rsid w:val="001D453C"/>
    <w:rsid w:val="001D456F"/>
    <w:rsid w:val="001D45FD"/>
    <w:rsid w:val="001D4E52"/>
    <w:rsid w:val="001D51F9"/>
    <w:rsid w:val="001D57B1"/>
    <w:rsid w:val="001D5C26"/>
    <w:rsid w:val="001D6042"/>
    <w:rsid w:val="001D60C0"/>
    <w:rsid w:val="001D6410"/>
    <w:rsid w:val="001D68DE"/>
    <w:rsid w:val="001D6B47"/>
    <w:rsid w:val="001D6BB5"/>
    <w:rsid w:val="001D6C2A"/>
    <w:rsid w:val="001D6F0E"/>
    <w:rsid w:val="001D6F1D"/>
    <w:rsid w:val="001E0738"/>
    <w:rsid w:val="001E17F1"/>
    <w:rsid w:val="001E24AD"/>
    <w:rsid w:val="001E25B0"/>
    <w:rsid w:val="001E28F7"/>
    <w:rsid w:val="001E29D5"/>
    <w:rsid w:val="001E2EBD"/>
    <w:rsid w:val="001E2EDC"/>
    <w:rsid w:val="001E34A3"/>
    <w:rsid w:val="001E3781"/>
    <w:rsid w:val="001E3ED8"/>
    <w:rsid w:val="001E4818"/>
    <w:rsid w:val="001E4E6F"/>
    <w:rsid w:val="001E4E85"/>
    <w:rsid w:val="001E5028"/>
    <w:rsid w:val="001E50BD"/>
    <w:rsid w:val="001E530F"/>
    <w:rsid w:val="001E5641"/>
    <w:rsid w:val="001E59A2"/>
    <w:rsid w:val="001E60B6"/>
    <w:rsid w:val="001E6222"/>
    <w:rsid w:val="001E6413"/>
    <w:rsid w:val="001E667E"/>
    <w:rsid w:val="001E67A3"/>
    <w:rsid w:val="001E6AC0"/>
    <w:rsid w:val="001E707B"/>
    <w:rsid w:val="001E76EC"/>
    <w:rsid w:val="001E77CF"/>
    <w:rsid w:val="001E77F0"/>
    <w:rsid w:val="001E78CB"/>
    <w:rsid w:val="001E7C1D"/>
    <w:rsid w:val="001F02C9"/>
    <w:rsid w:val="001F06BB"/>
    <w:rsid w:val="001F0BCF"/>
    <w:rsid w:val="001F2B79"/>
    <w:rsid w:val="001F30B3"/>
    <w:rsid w:val="001F37D9"/>
    <w:rsid w:val="001F37DA"/>
    <w:rsid w:val="001F3E17"/>
    <w:rsid w:val="001F46AD"/>
    <w:rsid w:val="001F578D"/>
    <w:rsid w:val="001F60A8"/>
    <w:rsid w:val="001F6256"/>
    <w:rsid w:val="001F6319"/>
    <w:rsid w:val="001F6512"/>
    <w:rsid w:val="001F721F"/>
    <w:rsid w:val="001F7BAC"/>
    <w:rsid w:val="002002C3"/>
    <w:rsid w:val="00200638"/>
    <w:rsid w:val="0020067A"/>
    <w:rsid w:val="00200794"/>
    <w:rsid w:val="002007C2"/>
    <w:rsid w:val="002017B4"/>
    <w:rsid w:val="002017E1"/>
    <w:rsid w:val="00201C18"/>
    <w:rsid w:val="00201F2E"/>
    <w:rsid w:val="0020244D"/>
    <w:rsid w:val="0020277F"/>
    <w:rsid w:val="00202EDC"/>
    <w:rsid w:val="002036DC"/>
    <w:rsid w:val="00203B8E"/>
    <w:rsid w:val="00203D99"/>
    <w:rsid w:val="00204CCD"/>
    <w:rsid w:val="00204FF1"/>
    <w:rsid w:val="00205137"/>
    <w:rsid w:val="00205219"/>
    <w:rsid w:val="00205938"/>
    <w:rsid w:val="00205E8D"/>
    <w:rsid w:val="00205F08"/>
    <w:rsid w:val="00205FB3"/>
    <w:rsid w:val="00206237"/>
    <w:rsid w:val="002067D9"/>
    <w:rsid w:val="00206CA3"/>
    <w:rsid w:val="002071CD"/>
    <w:rsid w:val="00207333"/>
    <w:rsid w:val="0020750A"/>
    <w:rsid w:val="00210150"/>
    <w:rsid w:val="00210255"/>
    <w:rsid w:val="002115DB"/>
    <w:rsid w:val="00211C27"/>
    <w:rsid w:val="00211F5A"/>
    <w:rsid w:val="00212635"/>
    <w:rsid w:val="002129DA"/>
    <w:rsid w:val="00213163"/>
    <w:rsid w:val="002131B4"/>
    <w:rsid w:val="00213D6C"/>
    <w:rsid w:val="00214A8E"/>
    <w:rsid w:val="002155F3"/>
    <w:rsid w:val="0021575E"/>
    <w:rsid w:val="00215911"/>
    <w:rsid w:val="00215959"/>
    <w:rsid w:val="00215966"/>
    <w:rsid w:val="002162A4"/>
    <w:rsid w:val="0021637D"/>
    <w:rsid w:val="002165B4"/>
    <w:rsid w:val="00216739"/>
    <w:rsid w:val="00216E06"/>
    <w:rsid w:val="00216F82"/>
    <w:rsid w:val="00217161"/>
    <w:rsid w:val="0021717F"/>
    <w:rsid w:val="002172A8"/>
    <w:rsid w:val="0021754F"/>
    <w:rsid w:val="00217B16"/>
    <w:rsid w:val="00217C13"/>
    <w:rsid w:val="0022049F"/>
    <w:rsid w:val="002206C1"/>
    <w:rsid w:val="00220CBE"/>
    <w:rsid w:val="002218EA"/>
    <w:rsid w:val="002220C8"/>
    <w:rsid w:val="002223B7"/>
    <w:rsid w:val="002225EB"/>
    <w:rsid w:val="002228E5"/>
    <w:rsid w:val="0022290F"/>
    <w:rsid w:val="00222EBD"/>
    <w:rsid w:val="00222F24"/>
    <w:rsid w:val="0022308D"/>
    <w:rsid w:val="002231A9"/>
    <w:rsid w:val="0022376E"/>
    <w:rsid w:val="00223863"/>
    <w:rsid w:val="00224263"/>
    <w:rsid w:val="002247FC"/>
    <w:rsid w:val="0022517A"/>
    <w:rsid w:val="002259DD"/>
    <w:rsid w:val="0022622F"/>
    <w:rsid w:val="00226A4F"/>
    <w:rsid w:val="00227027"/>
    <w:rsid w:val="00227500"/>
    <w:rsid w:val="002276E1"/>
    <w:rsid w:val="00230988"/>
    <w:rsid w:val="00230C64"/>
    <w:rsid w:val="00230D93"/>
    <w:rsid w:val="00230EAB"/>
    <w:rsid w:val="00231065"/>
    <w:rsid w:val="00231583"/>
    <w:rsid w:val="00231C7E"/>
    <w:rsid w:val="00231C89"/>
    <w:rsid w:val="00232566"/>
    <w:rsid w:val="00232625"/>
    <w:rsid w:val="00232A36"/>
    <w:rsid w:val="002345A5"/>
    <w:rsid w:val="00234E25"/>
    <w:rsid w:val="002352DC"/>
    <w:rsid w:val="00235A5B"/>
    <w:rsid w:val="00235CE4"/>
    <w:rsid w:val="00236571"/>
    <w:rsid w:val="002376FA"/>
    <w:rsid w:val="00240474"/>
    <w:rsid w:val="00240573"/>
    <w:rsid w:val="002406DE"/>
    <w:rsid w:val="00240FF9"/>
    <w:rsid w:val="00241654"/>
    <w:rsid w:val="00241B48"/>
    <w:rsid w:val="00242315"/>
    <w:rsid w:val="0024239E"/>
    <w:rsid w:val="00242722"/>
    <w:rsid w:val="00242CD6"/>
    <w:rsid w:val="00242D97"/>
    <w:rsid w:val="00242E31"/>
    <w:rsid w:val="00243A1F"/>
    <w:rsid w:val="00243AA6"/>
    <w:rsid w:val="00243E29"/>
    <w:rsid w:val="002443A9"/>
    <w:rsid w:val="00244EB2"/>
    <w:rsid w:val="00244F62"/>
    <w:rsid w:val="00245155"/>
    <w:rsid w:val="00245297"/>
    <w:rsid w:val="00246625"/>
    <w:rsid w:val="00246786"/>
    <w:rsid w:val="002471D6"/>
    <w:rsid w:val="00247330"/>
    <w:rsid w:val="002474D1"/>
    <w:rsid w:val="002476E5"/>
    <w:rsid w:val="00247A89"/>
    <w:rsid w:val="00247CE1"/>
    <w:rsid w:val="00247E4A"/>
    <w:rsid w:val="00247FD2"/>
    <w:rsid w:val="002509A8"/>
    <w:rsid w:val="0025125A"/>
    <w:rsid w:val="00251503"/>
    <w:rsid w:val="00252631"/>
    <w:rsid w:val="00252B30"/>
    <w:rsid w:val="00253004"/>
    <w:rsid w:val="00253D18"/>
    <w:rsid w:val="00253D4C"/>
    <w:rsid w:val="002540CB"/>
    <w:rsid w:val="00254412"/>
    <w:rsid w:val="00254FBB"/>
    <w:rsid w:val="0025582F"/>
    <w:rsid w:val="00255AF6"/>
    <w:rsid w:val="002563CB"/>
    <w:rsid w:val="002565D5"/>
    <w:rsid w:val="002570C8"/>
    <w:rsid w:val="002574DF"/>
    <w:rsid w:val="002574E5"/>
    <w:rsid w:val="00257866"/>
    <w:rsid w:val="002578BB"/>
    <w:rsid w:val="00257B8E"/>
    <w:rsid w:val="002602B2"/>
    <w:rsid w:val="00260676"/>
    <w:rsid w:val="00260A70"/>
    <w:rsid w:val="00260E83"/>
    <w:rsid w:val="002618B5"/>
    <w:rsid w:val="00261958"/>
    <w:rsid w:val="00262358"/>
    <w:rsid w:val="00262428"/>
    <w:rsid w:val="00262822"/>
    <w:rsid w:val="00262884"/>
    <w:rsid w:val="00262C8E"/>
    <w:rsid w:val="00263088"/>
    <w:rsid w:val="002632FB"/>
    <w:rsid w:val="002633A7"/>
    <w:rsid w:val="00263A40"/>
    <w:rsid w:val="0026458C"/>
    <w:rsid w:val="002649C9"/>
    <w:rsid w:val="00264D6B"/>
    <w:rsid w:val="00264EC6"/>
    <w:rsid w:val="002652FB"/>
    <w:rsid w:val="00265766"/>
    <w:rsid w:val="0026588F"/>
    <w:rsid w:val="002663AA"/>
    <w:rsid w:val="0026699B"/>
    <w:rsid w:val="00267234"/>
    <w:rsid w:val="0026725B"/>
    <w:rsid w:val="0026726E"/>
    <w:rsid w:val="00267F0A"/>
    <w:rsid w:val="0027013E"/>
    <w:rsid w:val="0027048A"/>
    <w:rsid w:val="00270969"/>
    <w:rsid w:val="00271165"/>
    <w:rsid w:val="002712F5"/>
    <w:rsid w:val="002717F0"/>
    <w:rsid w:val="00271D6B"/>
    <w:rsid w:val="002722B8"/>
    <w:rsid w:val="00273207"/>
    <w:rsid w:val="0027344D"/>
    <w:rsid w:val="00273920"/>
    <w:rsid w:val="00273BE7"/>
    <w:rsid w:val="00273C4B"/>
    <w:rsid w:val="00273C9E"/>
    <w:rsid w:val="00274252"/>
    <w:rsid w:val="002744C0"/>
    <w:rsid w:val="00274A81"/>
    <w:rsid w:val="00274EF6"/>
    <w:rsid w:val="0027503F"/>
    <w:rsid w:val="002755FD"/>
    <w:rsid w:val="002772A2"/>
    <w:rsid w:val="002776E2"/>
    <w:rsid w:val="00277725"/>
    <w:rsid w:val="00277B38"/>
    <w:rsid w:val="00277F3C"/>
    <w:rsid w:val="002805CA"/>
    <w:rsid w:val="00281256"/>
    <w:rsid w:val="00281F16"/>
    <w:rsid w:val="00281FDA"/>
    <w:rsid w:val="00282258"/>
    <w:rsid w:val="00282333"/>
    <w:rsid w:val="00282D13"/>
    <w:rsid w:val="00282D50"/>
    <w:rsid w:val="002835AF"/>
    <w:rsid w:val="00283FA3"/>
    <w:rsid w:val="00284197"/>
    <w:rsid w:val="002841F0"/>
    <w:rsid w:val="00284937"/>
    <w:rsid w:val="00284F9A"/>
    <w:rsid w:val="002860F0"/>
    <w:rsid w:val="0028646B"/>
    <w:rsid w:val="002866DE"/>
    <w:rsid w:val="0028701C"/>
    <w:rsid w:val="00287787"/>
    <w:rsid w:val="00287DF8"/>
    <w:rsid w:val="002905FA"/>
    <w:rsid w:val="00291764"/>
    <w:rsid w:val="00291AB7"/>
    <w:rsid w:val="002920D2"/>
    <w:rsid w:val="002924B5"/>
    <w:rsid w:val="002928A0"/>
    <w:rsid w:val="002931E1"/>
    <w:rsid w:val="0029342D"/>
    <w:rsid w:val="0029358F"/>
    <w:rsid w:val="00293B72"/>
    <w:rsid w:val="00294F01"/>
    <w:rsid w:val="0029515F"/>
    <w:rsid w:val="002954CB"/>
    <w:rsid w:val="00295522"/>
    <w:rsid w:val="00295B52"/>
    <w:rsid w:val="002961C5"/>
    <w:rsid w:val="002968FD"/>
    <w:rsid w:val="00296D99"/>
    <w:rsid w:val="00297681"/>
    <w:rsid w:val="00297CD6"/>
    <w:rsid w:val="00297EDD"/>
    <w:rsid w:val="00297F83"/>
    <w:rsid w:val="002A0660"/>
    <w:rsid w:val="002A0831"/>
    <w:rsid w:val="002A0ED6"/>
    <w:rsid w:val="002A114B"/>
    <w:rsid w:val="002A1DF7"/>
    <w:rsid w:val="002A2363"/>
    <w:rsid w:val="002A265D"/>
    <w:rsid w:val="002A2A3B"/>
    <w:rsid w:val="002A2E27"/>
    <w:rsid w:val="002A33E3"/>
    <w:rsid w:val="002A3873"/>
    <w:rsid w:val="002A3B3C"/>
    <w:rsid w:val="002A4159"/>
    <w:rsid w:val="002A4589"/>
    <w:rsid w:val="002A4794"/>
    <w:rsid w:val="002A49CE"/>
    <w:rsid w:val="002A4CEF"/>
    <w:rsid w:val="002A4F0E"/>
    <w:rsid w:val="002A5341"/>
    <w:rsid w:val="002A55DF"/>
    <w:rsid w:val="002A57EB"/>
    <w:rsid w:val="002A59F0"/>
    <w:rsid w:val="002A5C53"/>
    <w:rsid w:val="002A5FAD"/>
    <w:rsid w:val="002A62FC"/>
    <w:rsid w:val="002A6DF0"/>
    <w:rsid w:val="002A7392"/>
    <w:rsid w:val="002A7779"/>
    <w:rsid w:val="002A78CC"/>
    <w:rsid w:val="002A79DB"/>
    <w:rsid w:val="002B03AE"/>
    <w:rsid w:val="002B0784"/>
    <w:rsid w:val="002B0C78"/>
    <w:rsid w:val="002B0D2E"/>
    <w:rsid w:val="002B1201"/>
    <w:rsid w:val="002B13F4"/>
    <w:rsid w:val="002B16E0"/>
    <w:rsid w:val="002B3BB7"/>
    <w:rsid w:val="002B48D0"/>
    <w:rsid w:val="002B4BE5"/>
    <w:rsid w:val="002B4D40"/>
    <w:rsid w:val="002B51D3"/>
    <w:rsid w:val="002B55FD"/>
    <w:rsid w:val="002B5DB9"/>
    <w:rsid w:val="002B61E7"/>
    <w:rsid w:val="002B6388"/>
    <w:rsid w:val="002B6759"/>
    <w:rsid w:val="002B68D4"/>
    <w:rsid w:val="002B69D4"/>
    <w:rsid w:val="002B6AC9"/>
    <w:rsid w:val="002B772A"/>
    <w:rsid w:val="002B7A7A"/>
    <w:rsid w:val="002B7AAD"/>
    <w:rsid w:val="002B7B11"/>
    <w:rsid w:val="002B7C99"/>
    <w:rsid w:val="002B7D0B"/>
    <w:rsid w:val="002B7D5F"/>
    <w:rsid w:val="002B7F06"/>
    <w:rsid w:val="002C068C"/>
    <w:rsid w:val="002C1C70"/>
    <w:rsid w:val="002C1D39"/>
    <w:rsid w:val="002C2278"/>
    <w:rsid w:val="002C2362"/>
    <w:rsid w:val="002C25B6"/>
    <w:rsid w:val="002C26FF"/>
    <w:rsid w:val="002C28ED"/>
    <w:rsid w:val="002C304B"/>
    <w:rsid w:val="002C3370"/>
    <w:rsid w:val="002C3FB2"/>
    <w:rsid w:val="002C4302"/>
    <w:rsid w:val="002C4A69"/>
    <w:rsid w:val="002C4B06"/>
    <w:rsid w:val="002C4F23"/>
    <w:rsid w:val="002C4FB6"/>
    <w:rsid w:val="002C5780"/>
    <w:rsid w:val="002C69A2"/>
    <w:rsid w:val="002C6A38"/>
    <w:rsid w:val="002C6A9B"/>
    <w:rsid w:val="002C6CDA"/>
    <w:rsid w:val="002C6F17"/>
    <w:rsid w:val="002C6FD0"/>
    <w:rsid w:val="002C7003"/>
    <w:rsid w:val="002C7019"/>
    <w:rsid w:val="002C72E2"/>
    <w:rsid w:val="002C7768"/>
    <w:rsid w:val="002C7850"/>
    <w:rsid w:val="002C78BA"/>
    <w:rsid w:val="002C7A08"/>
    <w:rsid w:val="002D017E"/>
    <w:rsid w:val="002D04F0"/>
    <w:rsid w:val="002D0CC2"/>
    <w:rsid w:val="002D0F8C"/>
    <w:rsid w:val="002D1223"/>
    <w:rsid w:val="002D169E"/>
    <w:rsid w:val="002D1853"/>
    <w:rsid w:val="002D1A41"/>
    <w:rsid w:val="002D1B06"/>
    <w:rsid w:val="002D2099"/>
    <w:rsid w:val="002D21D3"/>
    <w:rsid w:val="002D2BA2"/>
    <w:rsid w:val="002D2D1D"/>
    <w:rsid w:val="002D2F09"/>
    <w:rsid w:val="002D3730"/>
    <w:rsid w:val="002D38CA"/>
    <w:rsid w:val="002D3C96"/>
    <w:rsid w:val="002D4105"/>
    <w:rsid w:val="002D4BA8"/>
    <w:rsid w:val="002D4F33"/>
    <w:rsid w:val="002D51B4"/>
    <w:rsid w:val="002D544C"/>
    <w:rsid w:val="002D5735"/>
    <w:rsid w:val="002D5943"/>
    <w:rsid w:val="002D5D40"/>
    <w:rsid w:val="002D5F06"/>
    <w:rsid w:val="002D6438"/>
    <w:rsid w:val="002D6B43"/>
    <w:rsid w:val="002D6C6F"/>
    <w:rsid w:val="002D6F16"/>
    <w:rsid w:val="002D6F4A"/>
    <w:rsid w:val="002D788E"/>
    <w:rsid w:val="002E0424"/>
    <w:rsid w:val="002E106D"/>
    <w:rsid w:val="002E1446"/>
    <w:rsid w:val="002E34EB"/>
    <w:rsid w:val="002E3961"/>
    <w:rsid w:val="002E3A3E"/>
    <w:rsid w:val="002E4F7D"/>
    <w:rsid w:val="002E51F1"/>
    <w:rsid w:val="002E5841"/>
    <w:rsid w:val="002E58AF"/>
    <w:rsid w:val="002E5A70"/>
    <w:rsid w:val="002E65F5"/>
    <w:rsid w:val="002E669B"/>
    <w:rsid w:val="002E6C51"/>
    <w:rsid w:val="002E72DE"/>
    <w:rsid w:val="002E73B5"/>
    <w:rsid w:val="002E768E"/>
    <w:rsid w:val="002E7790"/>
    <w:rsid w:val="002F0341"/>
    <w:rsid w:val="002F043C"/>
    <w:rsid w:val="002F0960"/>
    <w:rsid w:val="002F1B7D"/>
    <w:rsid w:val="002F2C17"/>
    <w:rsid w:val="002F3D5F"/>
    <w:rsid w:val="002F4A46"/>
    <w:rsid w:val="002F4F0F"/>
    <w:rsid w:val="002F5271"/>
    <w:rsid w:val="002F5A5A"/>
    <w:rsid w:val="002F5E28"/>
    <w:rsid w:val="002F5FC3"/>
    <w:rsid w:val="002F6230"/>
    <w:rsid w:val="002F67CF"/>
    <w:rsid w:val="002F7BDD"/>
    <w:rsid w:val="002F7C3C"/>
    <w:rsid w:val="003004C0"/>
    <w:rsid w:val="00300525"/>
    <w:rsid w:val="003006F9"/>
    <w:rsid w:val="00300742"/>
    <w:rsid w:val="00300DF7"/>
    <w:rsid w:val="00301129"/>
    <w:rsid w:val="00301D14"/>
    <w:rsid w:val="00302DA2"/>
    <w:rsid w:val="00302E32"/>
    <w:rsid w:val="00303014"/>
    <w:rsid w:val="003056D6"/>
    <w:rsid w:val="0030697D"/>
    <w:rsid w:val="00306AAA"/>
    <w:rsid w:val="00306B10"/>
    <w:rsid w:val="0030720B"/>
    <w:rsid w:val="003077AE"/>
    <w:rsid w:val="00307F81"/>
    <w:rsid w:val="003104B9"/>
    <w:rsid w:val="003106F5"/>
    <w:rsid w:val="00310ABC"/>
    <w:rsid w:val="00310C2F"/>
    <w:rsid w:val="003110BC"/>
    <w:rsid w:val="0031174E"/>
    <w:rsid w:val="00311B63"/>
    <w:rsid w:val="0031248E"/>
    <w:rsid w:val="00312507"/>
    <w:rsid w:val="003127C6"/>
    <w:rsid w:val="00313006"/>
    <w:rsid w:val="0031368D"/>
    <w:rsid w:val="00313B59"/>
    <w:rsid w:val="00313D09"/>
    <w:rsid w:val="00313DAA"/>
    <w:rsid w:val="0031407B"/>
    <w:rsid w:val="00314187"/>
    <w:rsid w:val="00314830"/>
    <w:rsid w:val="00314A86"/>
    <w:rsid w:val="00314B56"/>
    <w:rsid w:val="0031510C"/>
    <w:rsid w:val="00315A3E"/>
    <w:rsid w:val="0031603D"/>
    <w:rsid w:val="00316786"/>
    <w:rsid w:val="00316CE7"/>
    <w:rsid w:val="003171E3"/>
    <w:rsid w:val="003206CF"/>
    <w:rsid w:val="00320840"/>
    <w:rsid w:val="003208AC"/>
    <w:rsid w:val="00320952"/>
    <w:rsid w:val="00320A4F"/>
    <w:rsid w:val="00321188"/>
    <w:rsid w:val="003217EF"/>
    <w:rsid w:val="003220B0"/>
    <w:rsid w:val="00322F74"/>
    <w:rsid w:val="0032398B"/>
    <w:rsid w:val="003245F0"/>
    <w:rsid w:val="0032463A"/>
    <w:rsid w:val="0032465F"/>
    <w:rsid w:val="00324B5A"/>
    <w:rsid w:val="00325C8C"/>
    <w:rsid w:val="003268F5"/>
    <w:rsid w:val="00326C4A"/>
    <w:rsid w:val="00326F1A"/>
    <w:rsid w:val="00327450"/>
    <w:rsid w:val="00327657"/>
    <w:rsid w:val="0032794A"/>
    <w:rsid w:val="00327E0A"/>
    <w:rsid w:val="00327EBD"/>
    <w:rsid w:val="0033005F"/>
    <w:rsid w:val="003304DB"/>
    <w:rsid w:val="00330FD9"/>
    <w:rsid w:val="00331107"/>
    <w:rsid w:val="003327E5"/>
    <w:rsid w:val="00332A99"/>
    <w:rsid w:val="00332E8B"/>
    <w:rsid w:val="00333A42"/>
    <w:rsid w:val="00333DA8"/>
    <w:rsid w:val="003342EB"/>
    <w:rsid w:val="00334A65"/>
    <w:rsid w:val="00334B65"/>
    <w:rsid w:val="00334D54"/>
    <w:rsid w:val="003357B3"/>
    <w:rsid w:val="00335905"/>
    <w:rsid w:val="003359DA"/>
    <w:rsid w:val="003360FB"/>
    <w:rsid w:val="00336423"/>
    <w:rsid w:val="00336930"/>
    <w:rsid w:val="00336E53"/>
    <w:rsid w:val="00337066"/>
    <w:rsid w:val="0033749E"/>
    <w:rsid w:val="0033750B"/>
    <w:rsid w:val="00340347"/>
    <w:rsid w:val="00340AF6"/>
    <w:rsid w:val="00340D85"/>
    <w:rsid w:val="00340E1D"/>
    <w:rsid w:val="0034227B"/>
    <w:rsid w:val="003424C2"/>
    <w:rsid w:val="00342A01"/>
    <w:rsid w:val="00343FB2"/>
    <w:rsid w:val="00345558"/>
    <w:rsid w:val="00345C24"/>
    <w:rsid w:val="00345D1D"/>
    <w:rsid w:val="00345E71"/>
    <w:rsid w:val="003467CB"/>
    <w:rsid w:val="00346829"/>
    <w:rsid w:val="00346B7C"/>
    <w:rsid w:val="00346CC4"/>
    <w:rsid w:val="003473C5"/>
    <w:rsid w:val="00347FC2"/>
    <w:rsid w:val="00350329"/>
    <w:rsid w:val="0035056D"/>
    <w:rsid w:val="00350D88"/>
    <w:rsid w:val="00351575"/>
    <w:rsid w:val="0035180D"/>
    <w:rsid w:val="00351A0C"/>
    <w:rsid w:val="00351DFE"/>
    <w:rsid w:val="00351F7C"/>
    <w:rsid w:val="0035211B"/>
    <w:rsid w:val="003525A5"/>
    <w:rsid w:val="00352657"/>
    <w:rsid w:val="00352BCD"/>
    <w:rsid w:val="00352C9F"/>
    <w:rsid w:val="00352E8B"/>
    <w:rsid w:val="003531BC"/>
    <w:rsid w:val="0035360A"/>
    <w:rsid w:val="00353F98"/>
    <w:rsid w:val="00354642"/>
    <w:rsid w:val="00355780"/>
    <w:rsid w:val="00355D13"/>
    <w:rsid w:val="003567AD"/>
    <w:rsid w:val="00357164"/>
    <w:rsid w:val="00357651"/>
    <w:rsid w:val="0035768B"/>
    <w:rsid w:val="0035789A"/>
    <w:rsid w:val="00357BCB"/>
    <w:rsid w:val="0036038D"/>
    <w:rsid w:val="003607AD"/>
    <w:rsid w:val="003611CD"/>
    <w:rsid w:val="003619C3"/>
    <w:rsid w:val="0036285B"/>
    <w:rsid w:val="00362946"/>
    <w:rsid w:val="00362B95"/>
    <w:rsid w:val="003637DF"/>
    <w:rsid w:val="00363CA0"/>
    <w:rsid w:val="0036456A"/>
    <w:rsid w:val="003649E9"/>
    <w:rsid w:val="00366427"/>
    <w:rsid w:val="0036720A"/>
    <w:rsid w:val="00367269"/>
    <w:rsid w:val="00367FB6"/>
    <w:rsid w:val="00370ADC"/>
    <w:rsid w:val="00370DD5"/>
    <w:rsid w:val="003711B4"/>
    <w:rsid w:val="00371B14"/>
    <w:rsid w:val="00371D48"/>
    <w:rsid w:val="003732A8"/>
    <w:rsid w:val="0037334F"/>
    <w:rsid w:val="0037347D"/>
    <w:rsid w:val="003736E0"/>
    <w:rsid w:val="00373E47"/>
    <w:rsid w:val="0037412E"/>
    <w:rsid w:val="003744F6"/>
    <w:rsid w:val="0037465C"/>
    <w:rsid w:val="0037469F"/>
    <w:rsid w:val="003749A5"/>
    <w:rsid w:val="00374B07"/>
    <w:rsid w:val="00376BC2"/>
    <w:rsid w:val="00376EC5"/>
    <w:rsid w:val="0037737F"/>
    <w:rsid w:val="00377B5E"/>
    <w:rsid w:val="00377BE4"/>
    <w:rsid w:val="003808D8"/>
    <w:rsid w:val="00380EF9"/>
    <w:rsid w:val="003813B4"/>
    <w:rsid w:val="00381852"/>
    <w:rsid w:val="0038188F"/>
    <w:rsid w:val="00381AB6"/>
    <w:rsid w:val="0038210B"/>
    <w:rsid w:val="00382514"/>
    <w:rsid w:val="00382538"/>
    <w:rsid w:val="00382C8B"/>
    <w:rsid w:val="00383857"/>
    <w:rsid w:val="0038388B"/>
    <w:rsid w:val="00384B0B"/>
    <w:rsid w:val="00384C8E"/>
    <w:rsid w:val="00384DAC"/>
    <w:rsid w:val="00384E8B"/>
    <w:rsid w:val="0038577A"/>
    <w:rsid w:val="00385C6E"/>
    <w:rsid w:val="00385CE4"/>
    <w:rsid w:val="00385DE7"/>
    <w:rsid w:val="00386746"/>
    <w:rsid w:val="0038676D"/>
    <w:rsid w:val="00387064"/>
    <w:rsid w:val="00387408"/>
    <w:rsid w:val="0038749F"/>
    <w:rsid w:val="00390144"/>
    <w:rsid w:val="00390243"/>
    <w:rsid w:val="00391296"/>
    <w:rsid w:val="00391C5C"/>
    <w:rsid w:val="00392207"/>
    <w:rsid w:val="00392281"/>
    <w:rsid w:val="003930D9"/>
    <w:rsid w:val="00393425"/>
    <w:rsid w:val="00393B07"/>
    <w:rsid w:val="00394132"/>
    <w:rsid w:val="0039475B"/>
    <w:rsid w:val="00394D49"/>
    <w:rsid w:val="003955CE"/>
    <w:rsid w:val="00396581"/>
    <w:rsid w:val="003967BD"/>
    <w:rsid w:val="00396D1D"/>
    <w:rsid w:val="0039707C"/>
    <w:rsid w:val="00397278"/>
    <w:rsid w:val="00397851"/>
    <w:rsid w:val="00397FB5"/>
    <w:rsid w:val="003A08F4"/>
    <w:rsid w:val="003A0C7F"/>
    <w:rsid w:val="003A0F46"/>
    <w:rsid w:val="003A1B2A"/>
    <w:rsid w:val="003A1E39"/>
    <w:rsid w:val="003A2304"/>
    <w:rsid w:val="003A2389"/>
    <w:rsid w:val="003A274C"/>
    <w:rsid w:val="003A2C24"/>
    <w:rsid w:val="003A2FC6"/>
    <w:rsid w:val="003A2FE1"/>
    <w:rsid w:val="003A3579"/>
    <w:rsid w:val="003A3DDC"/>
    <w:rsid w:val="003A3F74"/>
    <w:rsid w:val="003A4064"/>
    <w:rsid w:val="003A42F1"/>
    <w:rsid w:val="003A475E"/>
    <w:rsid w:val="003A4B4B"/>
    <w:rsid w:val="003A4E06"/>
    <w:rsid w:val="003A52D9"/>
    <w:rsid w:val="003A5CC1"/>
    <w:rsid w:val="003A63B2"/>
    <w:rsid w:val="003A695D"/>
    <w:rsid w:val="003A6D26"/>
    <w:rsid w:val="003A70A2"/>
    <w:rsid w:val="003A72F0"/>
    <w:rsid w:val="003A78A3"/>
    <w:rsid w:val="003B041B"/>
    <w:rsid w:val="003B195F"/>
    <w:rsid w:val="003B1C6B"/>
    <w:rsid w:val="003B2002"/>
    <w:rsid w:val="003B2BD2"/>
    <w:rsid w:val="003B2F43"/>
    <w:rsid w:val="003B3604"/>
    <w:rsid w:val="003B3FC7"/>
    <w:rsid w:val="003B4690"/>
    <w:rsid w:val="003B4E5F"/>
    <w:rsid w:val="003B5434"/>
    <w:rsid w:val="003B5685"/>
    <w:rsid w:val="003B56C5"/>
    <w:rsid w:val="003B5A4E"/>
    <w:rsid w:val="003B7064"/>
    <w:rsid w:val="003B751B"/>
    <w:rsid w:val="003B7578"/>
    <w:rsid w:val="003C0585"/>
    <w:rsid w:val="003C0937"/>
    <w:rsid w:val="003C0D7C"/>
    <w:rsid w:val="003C1A02"/>
    <w:rsid w:val="003C1DB8"/>
    <w:rsid w:val="003C2007"/>
    <w:rsid w:val="003C220F"/>
    <w:rsid w:val="003C2875"/>
    <w:rsid w:val="003C28FD"/>
    <w:rsid w:val="003C2BBA"/>
    <w:rsid w:val="003C2EE7"/>
    <w:rsid w:val="003C3ECD"/>
    <w:rsid w:val="003C3F2C"/>
    <w:rsid w:val="003C48D7"/>
    <w:rsid w:val="003C4DA4"/>
    <w:rsid w:val="003C541C"/>
    <w:rsid w:val="003C56C2"/>
    <w:rsid w:val="003C5B45"/>
    <w:rsid w:val="003C6127"/>
    <w:rsid w:val="003C6577"/>
    <w:rsid w:val="003C6DA7"/>
    <w:rsid w:val="003C7499"/>
    <w:rsid w:val="003C772F"/>
    <w:rsid w:val="003D03AE"/>
    <w:rsid w:val="003D0702"/>
    <w:rsid w:val="003D0C0E"/>
    <w:rsid w:val="003D139C"/>
    <w:rsid w:val="003D298B"/>
    <w:rsid w:val="003D2A5D"/>
    <w:rsid w:val="003D2CA7"/>
    <w:rsid w:val="003D3234"/>
    <w:rsid w:val="003D374A"/>
    <w:rsid w:val="003D5423"/>
    <w:rsid w:val="003D572B"/>
    <w:rsid w:val="003D5837"/>
    <w:rsid w:val="003D592F"/>
    <w:rsid w:val="003D620E"/>
    <w:rsid w:val="003D6B5C"/>
    <w:rsid w:val="003D6D2C"/>
    <w:rsid w:val="003D7A0B"/>
    <w:rsid w:val="003D7B32"/>
    <w:rsid w:val="003E087C"/>
    <w:rsid w:val="003E09E6"/>
    <w:rsid w:val="003E0A9D"/>
    <w:rsid w:val="003E0B64"/>
    <w:rsid w:val="003E0DD5"/>
    <w:rsid w:val="003E0ED1"/>
    <w:rsid w:val="003E1ADA"/>
    <w:rsid w:val="003E1DBB"/>
    <w:rsid w:val="003E1F8C"/>
    <w:rsid w:val="003E2B51"/>
    <w:rsid w:val="003E32C1"/>
    <w:rsid w:val="003E3307"/>
    <w:rsid w:val="003E337C"/>
    <w:rsid w:val="003E3B92"/>
    <w:rsid w:val="003E3E0A"/>
    <w:rsid w:val="003E44BC"/>
    <w:rsid w:val="003E45E6"/>
    <w:rsid w:val="003E48C8"/>
    <w:rsid w:val="003E564C"/>
    <w:rsid w:val="003E5E88"/>
    <w:rsid w:val="003E7DD4"/>
    <w:rsid w:val="003E7F51"/>
    <w:rsid w:val="003E7FA9"/>
    <w:rsid w:val="003F129D"/>
    <w:rsid w:val="003F19E3"/>
    <w:rsid w:val="003F1F1E"/>
    <w:rsid w:val="003F1F41"/>
    <w:rsid w:val="003F21DE"/>
    <w:rsid w:val="003F23D5"/>
    <w:rsid w:val="003F28AB"/>
    <w:rsid w:val="003F2A8D"/>
    <w:rsid w:val="003F2D6B"/>
    <w:rsid w:val="003F32A4"/>
    <w:rsid w:val="003F3875"/>
    <w:rsid w:val="003F3C7A"/>
    <w:rsid w:val="003F3D1B"/>
    <w:rsid w:val="003F4530"/>
    <w:rsid w:val="003F5038"/>
    <w:rsid w:val="003F50FC"/>
    <w:rsid w:val="003F537C"/>
    <w:rsid w:val="003F5E71"/>
    <w:rsid w:val="003F5F78"/>
    <w:rsid w:val="003F612E"/>
    <w:rsid w:val="003F689D"/>
    <w:rsid w:val="003F726C"/>
    <w:rsid w:val="003F7556"/>
    <w:rsid w:val="00400619"/>
    <w:rsid w:val="00401451"/>
    <w:rsid w:val="004016A5"/>
    <w:rsid w:val="0040212E"/>
    <w:rsid w:val="00402247"/>
    <w:rsid w:val="00402B2B"/>
    <w:rsid w:val="00402D6F"/>
    <w:rsid w:val="00402E0C"/>
    <w:rsid w:val="00403341"/>
    <w:rsid w:val="00403F41"/>
    <w:rsid w:val="0040524A"/>
    <w:rsid w:val="004052D4"/>
    <w:rsid w:val="004057D1"/>
    <w:rsid w:val="004064C8"/>
    <w:rsid w:val="00406792"/>
    <w:rsid w:val="004076A8"/>
    <w:rsid w:val="004076E7"/>
    <w:rsid w:val="00407732"/>
    <w:rsid w:val="00407940"/>
    <w:rsid w:val="004103E1"/>
    <w:rsid w:val="00410877"/>
    <w:rsid w:val="0041138E"/>
    <w:rsid w:val="004115D1"/>
    <w:rsid w:val="0041175C"/>
    <w:rsid w:val="00411B03"/>
    <w:rsid w:val="00411FE1"/>
    <w:rsid w:val="0041224B"/>
    <w:rsid w:val="00412CB0"/>
    <w:rsid w:val="00412EE3"/>
    <w:rsid w:val="0041325D"/>
    <w:rsid w:val="0041325E"/>
    <w:rsid w:val="0041372F"/>
    <w:rsid w:val="00413813"/>
    <w:rsid w:val="00414160"/>
    <w:rsid w:val="004148B7"/>
    <w:rsid w:val="004149C7"/>
    <w:rsid w:val="00414DE6"/>
    <w:rsid w:val="00414E23"/>
    <w:rsid w:val="004158BA"/>
    <w:rsid w:val="00415AFE"/>
    <w:rsid w:val="00416F6B"/>
    <w:rsid w:val="00417D62"/>
    <w:rsid w:val="00417E6E"/>
    <w:rsid w:val="00417E8B"/>
    <w:rsid w:val="00417E9A"/>
    <w:rsid w:val="00420977"/>
    <w:rsid w:val="00420B13"/>
    <w:rsid w:val="004210C9"/>
    <w:rsid w:val="00421711"/>
    <w:rsid w:val="00422C91"/>
    <w:rsid w:val="00422EAC"/>
    <w:rsid w:val="00422FC2"/>
    <w:rsid w:val="00422FF9"/>
    <w:rsid w:val="004230D5"/>
    <w:rsid w:val="004242B8"/>
    <w:rsid w:val="0042490C"/>
    <w:rsid w:val="00424986"/>
    <w:rsid w:val="00424FEC"/>
    <w:rsid w:val="0042560B"/>
    <w:rsid w:val="0042640E"/>
    <w:rsid w:val="004264DB"/>
    <w:rsid w:val="00426804"/>
    <w:rsid w:val="00426B00"/>
    <w:rsid w:val="004272E4"/>
    <w:rsid w:val="00427A07"/>
    <w:rsid w:val="00427FEB"/>
    <w:rsid w:val="00431009"/>
    <w:rsid w:val="004319ED"/>
    <w:rsid w:val="0043325C"/>
    <w:rsid w:val="004342AE"/>
    <w:rsid w:val="0043434C"/>
    <w:rsid w:val="00434554"/>
    <w:rsid w:val="004345AC"/>
    <w:rsid w:val="004345F5"/>
    <w:rsid w:val="004347AE"/>
    <w:rsid w:val="00434F3B"/>
    <w:rsid w:val="004351F8"/>
    <w:rsid w:val="00435201"/>
    <w:rsid w:val="0043589E"/>
    <w:rsid w:val="00435C7D"/>
    <w:rsid w:val="00435CEC"/>
    <w:rsid w:val="004361C2"/>
    <w:rsid w:val="00436349"/>
    <w:rsid w:val="00436480"/>
    <w:rsid w:val="00436561"/>
    <w:rsid w:val="0043686F"/>
    <w:rsid w:val="004368B6"/>
    <w:rsid w:val="00436B64"/>
    <w:rsid w:val="00436DFA"/>
    <w:rsid w:val="0044140E"/>
    <w:rsid w:val="00441AB2"/>
    <w:rsid w:val="00441B44"/>
    <w:rsid w:val="00441B85"/>
    <w:rsid w:val="00441E6A"/>
    <w:rsid w:val="0044266A"/>
    <w:rsid w:val="00442A2F"/>
    <w:rsid w:val="0044328F"/>
    <w:rsid w:val="00443E4E"/>
    <w:rsid w:val="00444344"/>
    <w:rsid w:val="00444D90"/>
    <w:rsid w:val="00445237"/>
    <w:rsid w:val="00445689"/>
    <w:rsid w:val="004458D2"/>
    <w:rsid w:val="00445C08"/>
    <w:rsid w:val="004462F7"/>
    <w:rsid w:val="00446351"/>
    <w:rsid w:val="00447275"/>
    <w:rsid w:val="0044730D"/>
    <w:rsid w:val="00447717"/>
    <w:rsid w:val="00447903"/>
    <w:rsid w:val="00447FC6"/>
    <w:rsid w:val="00450322"/>
    <w:rsid w:val="00451672"/>
    <w:rsid w:val="00451966"/>
    <w:rsid w:val="004526D9"/>
    <w:rsid w:val="00452806"/>
    <w:rsid w:val="00452949"/>
    <w:rsid w:val="00452E35"/>
    <w:rsid w:val="00452E71"/>
    <w:rsid w:val="004531F9"/>
    <w:rsid w:val="004534AF"/>
    <w:rsid w:val="00453703"/>
    <w:rsid w:val="00454DB4"/>
    <w:rsid w:val="00455388"/>
    <w:rsid w:val="00455690"/>
    <w:rsid w:val="00455831"/>
    <w:rsid w:val="00455851"/>
    <w:rsid w:val="004569A7"/>
    <w:rsid w:val="00456C12"/>
    <w:rsid w:val="00457B98"/>
    <w:rsid w:val="00457EE4"/>
    <w:rsid w:val="004602DB"/>
    <w:rsid w:val="004604AD"/>
    <w:rsid w:val="00460DE0"/>
    <w:rsid w:val="004614B5"/>
    <w:rsid w:val="00461D02"/>
    <w:rsid w:val="00461D5E"/>
    <w:rsid w:val="00462329"/>
    <w:rsid w:val="00462D4D"/>
    <w:rsid w:val="0046344D"/>
    <w:rsid w:val="00463480"/>
    <w:rsid w:val="0046407C"/>
    <w:rsid w:val="0046440A"/>
    <w:rsid w:val="004646C1"/>
    <w:rsid w:val="00464888"/>
    <w:rsid w:val="004651AD"/>
    <w:rsid w:val="00467B1C"/>
    <w:rsid w:val="00467EBB"/>
    <w:rsid w:val="004705C7"/>
    <w:rsid w:val="004706D7"/>
    <w:rsid w:val="00470A46"/>
    <w:rsid w:val="00470BF9"/>
    <w:rsid w:val="00470D8C"/>
    <w:rsid w:val="00470EBD"/>
    <w:rsid w:val="004710A1"/>
    <w:rsid w:val="0047169C"/>
    <w:rsid w:val="00471D31"/>
    <w:rsid w:val="00471E5C"/>
    <w:rsid w:val="00472013"/>
    <w:rsid w:val="00472632"/>
    <w:rsid w:val="00472E7B"/>
    <w:rsid w:val="00472F89"/>
    <w:rsid w:val="0047305E"/>
    <w:rsid w:val="00473574"/>
    <w:rsid w:val="00473784"/>
    <w:rsid w:val="00473C74"/>
    <w:rsid w:val="00473FF7"/>
    <w:rsid w:val="0047401E"/>
    <w:rsid w:val="00474919"/>
    <w:rsid w:val="00474DED"/>
    <w:rsid w:val="00475380"/>
    <w:rsid w:val="0047580A"/>
    <w:rsid w:val="0047606D"/>
    <w:rsid w:val="004762F8"/>
    <w:rsid w:val="00476482"/>
    <w:rsid w:val="0047660D"/>
    <w:rsid w:val="004769A5"/>
    <w:rsid w:val="00476A60"/>
    <w:rsid w:val="00476EE5"/>
    <w:rsid w:val="0047780E"/>
    <w:rsid w:val="00477DF1"/>
    <w:rsid w:val="00480562"/>
    <w:rsid w:val="00480599"/>
    <w:rsid w:val="00480A6B"/>
    <w:rsid w:val="00480ED7"/>
    <w:rsid w:val="004810F6"/>
    <w:rsid w:val="00481249"/>
    <w:rsid w:val="00481506"/>
    <w:rsid w:val="00481684"/>
    <w:rsid w:val="00481A1C"/>
    <w:rsid w:val="00481ADF"/>
    <w:rsid w:val="00481EE3"/>
    <w:rsid w:val="00482C8F"/>
    <w:rsid w:val="004835D6"/>
    <w:rsid w:val="00483841"/>
    <w:rsid w:val="0048412D"/>
    <w:rsid w:val="00484439"/>
    <w:rsid w:val="00484F2E"/>
    <w:rsid w:val="00486137"/>
    <w:rsid w:val="004863BE"/>
    <w:rsid w:val="00486CFF"/>
    <w:rsid w:val="00486EC8"/>
    <w:rsid w:val="00486F16"/>
    <w:rsid w:val="00487AA4"/>
    <w:rsid w:val="00487F39"/>
    <w:rsid w:val="004903D1"/>
    <w:rsid w:val="0049049B"/>
    <w:rsid w:val="0049073C"/>
    <w:rsid w:val="00490ED1"/>
    <w:rsid w:val="0049100E"/>
    <w:rsid w:val="00492E3C"/>
    <w:rsid w:val="00493363"/>
    <w:rsid w:val="0049380A"/>
    <w:rsid w:val="00493831"/>
    <w:rsid w:val="004941F3"/>
    <w:rsid w:val="004958BE"/>
    <w:rsid w:val="00495C91"/>
    <w:rsid w:val="004966B8"/>
    <w:rsid w:val="0049700F"/>
    <w:rsid w:val="004A015A"/>
    <w:rsid w:val="004A0361"/>
    <w:rsid w:val="004A0474"/>
    <w:rsid w:val="004A04FE"/>
    <w:rsid w:val="004A05BA"/>
    <w:rsid w:val="004A0678"/>
    <w:rsid w:val="004A0AE6"/>
    <w:rsid w:val="004A0E1B"/>
    <w:rsid w:val="004A125D"/>
    <w:rsid w:val="004A1F5D"/>
    <w:rsid w:val="004A22DF"/>
    <w:rsid w:val="004A2377"/>
    <w:rsid w:val="004A2531"/>
    <w:rsid w:val="004A2679"/>
    <w:rsid w:val="004A3412"/>
    <w:rsid w:val="004A367D"/>
    <w:rsid w:val="004A37A7"/>
    <w:rsid w:val="004A3DF9"/>
    <w:rsid w:val="004A4266"/>
    <w:rsid w:val="004A482E"/>
    <w:rsid w:val="004A48C1"/>
    <w:rsid w:val="004A4A49"/>
    <w:rsid w:val="004A5655"/>
    <w:rsid w:val="004A5E47"/>
    <w:rsid w:val="004A6558"/>
    <w:rsid w:val="004A66A6"/>
    <w:rsid w:val="004A671F"/>
    <w:rsid w:val="004A6782"/>
    <w:rsid w:val="004A6796"/>
    <w:rsid w:val="004A6CC6"/>
    <w:rsid w:val="004A6DAC"/>
    <w:rsid w:val="004A7C86"/>
    <w:rsid w:val="004B0325"/>
    <w:rsid w:val="004B03F6"/>
    <w:rsid w:val="004B1053"/>
    <w:rsid w:val="004B1536"/>
    <w:rsid w:val="004B2236"/>
    <w:rsid w:val="004B2851"/>
    <w:rsid w:val="004B31E3"/>
    <w:rsid w:val="004B32CB"/>
    <w:rsid w:val="004B3D2C"/>
    <w:rsid w:val="004B3FC2"/>
    <w:rsid w:val="004B4ADA"/>
    <w:rsid w:val="004B4D35"/>
    <w:rsid w:val="004B4D46"/>
    <w:rsid w:val="004B4D4C"/>
    <w:rsid w:val="004B50F8"/>
    <w:rsid w:val="004B5165"/>
    <w:rsid w:val="004B5699"/>
    <w:rsid w:val="004B5BA0"/>
    <w:rsid w:val="004B5D02"/>
    <w:rsid w:val="004B62CA"/>
    <w:rsid w:val="004B6B1C"/>
    <w:rsid w:val="004B77D1"/>
    <w:rsid w:val="004B796E"/>
    <w:rsid w:val="004B7AEF"/>
    <w:rsid w:val="004B7F94"/>
    <w:rsid w:val="004C046B"/>
    <w:rsid w:val="004C04FF"/>
    <w:rsid w:val="004C0D4D"/>
    <w:rsid w:val="004C0D72"/>
    <w:rsid w:val="004C0EFA"/>
    <w:rsid w:val="004C16F2"/>
    <w:rsid w:val="004C174F"/>
    <w:rsid w:val="004C1B41"/>
    <w:rsid w:val="004C2D6D"/>
    <w:rsid w:val="004C2EEB"/>
    <w:rsid w:val="004C32F7"/>
    <w:rsid w:val="004C39B3"/>
    <w:rsid w:val="004C3A75"/>
    <w:rsid w:val="004C3C33"/>
    <w:rsid w:val="004C420E"/>
    <w:rsid w:val="004C5465"/>
    <w:rsid w:val="004C5998"/>
    <w:rsid w:val="004C5AE5"/>
    <w:rsid w:val="004C67B8"/>
    <w:rsid w:val="004C6BE9"/>
    <w:rsid w:val="004C7056"/>
    <w:rsid w:val="004C70A6"/>
    <w:rsid w:val="004C7A20"/>
    <w:rsid w:val="004C7A99"/>
    <w:rsid w:val="004C7E14"/>
    <w:rsid w:val="004D030E"/>
    <w:rsid w:val="004D0D0C"/>
    <w:rsid w:val="004D139F"/>
    <w:rsid w:val="004D169C"/>
    <w:rsid w:val="004D172B"/>
    <w:rsid w:val="004D205D"/>
    <w:rsid w:val="004D2516"/>
    <w:rsid w:val="004D26A4"/>
    <w:rsid w:val="004D2FF4"/>
    <w:rsid w:val="004D317A"/>
    <w:rsid w:val="004D31E3"/>
    <w:rsid w:val="004D3D40"/>
    <w:rsid w:val="004D3F7D"/>
    <w:rsid w:val="004D414E"/>
    <w:rsid w:val="004D4808"/>
    <w:rsid w:val="004D5493"/>
    <w:rsid w:val="004D5543"/>
    <w:rsid w:val="004D5853"/>
    <w:rsid w:val="004D5F47"/>
    <w:rsid w:val="004D5FA6"/>
    <w:rsid w:val="004D5FAE"/>
    <w:rsid w:val="004D6265"/>
    <w:rsid w:val="004D6850"/>
    <w:rsid w:val="004D6D68"/>
    <w:rsid w:val="004D72B9"/>
    <w:rsid w:val="004E0C16"/>
    <w:rsid w:val="004E0F2C"/>
    <w:rsid w:val="004E0F4C"/>
    <w:rsid w:val="004E1562"/>
    <w:rsid w:val="004E1EBC"/>
    <w:rsid w:val="004E2177"/>
    <w:rsid w:val="004E22C6"/>
    <w:rsid w:val="004E22E4"/>
    <w:rsid w:val="004E296D"/>
    <w:rsid w:val="004E301D"/>
    <w:rsid w:val="004E34D8"/>
    <w:rsid w:val="004E37FF"/>
    <w:rsid w:val="004E49DA"/>
    <w:rsid w:val="004E4A05"/>
    <w:rsid w:val="004E4DCC"/>
    <w:rsid w:val="004E62C0"/>
    <w:rsid w:val="004E6869"/>
    <w:rsid w:val="004E7032"/>
    <w:rsid w:val="004E76CB"/>
    <w:rsid w:val="004E79E5"/>
    <w:rsid w:val="004F069A"/>
    <w:rsid w:val="004F0C48"/>
    <w:rsid w:val="004F0D56"/>
    <w:rsid w:val="004F12AF"/>
    <w:rsid w:val="004F14D9"/>
    <w:rsid w:val="004F1815"/>
    <w:rsid w:val="004F19C0"/>
    <w:rsid w:val="004F1B26"/>
    <w:rsid w:val="004F1E0C"/>
    <w:rsid w:val="004F1EEA"/>
    <w:rsid w:val="004F1FF8"/>
    <w:rsid w:val="004F25B9"/>
    <w:rsid w:val="004F2A0D"/>
    <w:rsid w:val="004F2A44"/>
    <w:rsid w:val="004F2DB1"/>
    <w:rsid w:val="004F2F8D"/>
    <w:rsid w:val="004F322D"/>
    <w:rsid w:val="004F343E"/>
    <w:rsid w:val="004F347D"/>
    <w:rsid w:val="004F4999"/>
    <w:rsid w:val="004F4C67"/>
    <w:rsid w:val="004F50EC"/>
    <w:rsid w:val="004F50F3"/>
    <w:rsid w:val="004F5435"/>
    <w:rsid w:val="004F543A"/>
    <w:rsid w:val="004F57D3"/>
    <w:rsid w:val="004F5CCF"/>
    <w:rsid w:val="004F5DD2"/>
    <w:rsid w:val="004F6777"/>
    <w:rsid w:val="004F6AEF"/>
    <w:rsid w:val="004F6DA9"/>
    <w:rsid w:val="004F6F16"/>
    <w:rsid w:val="004F717D"/>
    <w:rsid w:val="004F7849"/>
    <w:rsid w:val="004F79C5"/>
    <w:rsid w:val="004F7EC0"/>
    <w:rsid w:val="004F7EE9"/>
    <w:rsid w:val="005004A7"/>
    <w:rsid w:val="00500B8B"/>
    <w:rsid w:val="00500D69"/>
    <w:rsid w:val="00500FBA"/>
    <w:rsid w:val="0050126B"/>
    <w:rsid w:val="00501AF3"/>
    <w:rsid w:val="00501BB8"/>
    <w:rsid w:val="00501BF1"/>
    <w:rsid w:val="00502032"/>
    <w:rsid w:val="0050217D"/>
    <w:rsid w:val="005026C1"/>
    <w:rsid w:val="005029E0"/>
    <w:rsid w:val="00502AC5"/>
    <w:rsid w:val="00502C58"/>
    <w:rsid w:val="00503958"/>
    <w:rsid w:val="00504A36"/>
    <w:rsid w:val="00504E50"/>
    <w:rsid w:val="00506541"/>
    <w:rsid w:val="00506F69"/>
    <w:rsid w:val="00507067"/>
    <w:rsid w:val="00507443"/>
    <w:rsid w:val="00510057"/>
    <w:rsid w:val="005100DA"/>
    <w:rsid w:val="00510631"/>
    <w:rsid w:val="005115B9"/>
    <w:rsid w:val="00511BAF"/>
    <w:rsid w:val="00511E4A"/>
    <w:rsid w:val="00511EB7"/>
    <w:rsid w:val="0051200B"/>
    <w:rsid w:val="00513737"/>
    <w:rsid w:val="00514E68"/>
    <w:rsid w:val="00515299"/>
    <w:rsid w:val="005152C2"/>
    <w:rsid w:val="00515C29"/>
    <w:rsid w:val="00516034"/>
    <w:rsid w:val="00516098"/>
    <w:rsid w:val="00516137"/>
    <w:rsid w:val="00516170"/>
    <w:rsid w:val="00516184"/>
    <w:rsid w:val="00516905"/>
    <w:rsid w:val="00516EF9"/>
    <w:rsid w:val="00517DA1"/>
    <w:rsid w:val="00520677"/>
    <w:rsid w:val="00520873"/>
    <w:rsid w:val="00520DCB"/>
    <w:rsid w:val="00520EAA"/>
    <w:rsid w:val="0052135B"/>
    <w:rsid w:val="0052198F"/>
    <w:rsid w:val="00521E87"/>
    <w:rsid w:val="00521F3A"/>
    <w:rsid w:val="00522252"/>
    <w:rsid w:val="005222F1"/>
    <w:rsid w:val="005231EA"/>
    <w:rsid w:val="0052328D"/>
    <w:rsid w:val="005232AE"/>
    <w:rsid w:val="005235C6"/>
    <w:rsid w:val="005238DD"/>
    <w:rsid w:val="00523D5A"/>
    <w:rsid w:val="00524349"/>
    <w:rsid w:val="005256A7"/>
    <w:rsid w:val="00525894"/>
    <w:rsid w:val="00525B93"/>
    <w:rsid w:val="00526EED"/>
    <w:rsid w:val="00527122"/>
    <w:rsid w:val="00527294"/>
    <w:rsid w:val="00527AE5"/>
    <w:rsid w:val="00527E98"/>
    <w:rsid w:val="005301B4"/>
    <w:rsid w:val="0053026D"/>
    <w:rsid w:val="005303BC"/>
    <w:rsid w:val="0053049D"/>
    <w:rsid w:val="005305A8"/>
    <w:rsid w:val="005308AE"/>
    <w:rsid w:val="0053115F"/>
    <w:rsid w:val="00531632"/>
    <w:rsid w:val="00531D54"/>
    <w:rsid w:val="00531EC3"/>
    <w:rsid w:val="005324CE"/>
    <w:rsid w:val="00532C24"/>
    <w:rsid w:val="00532CF2"/>
    <w:rsid w:val="0053329A"/>
    <w:rsid w:val="005335C9"/>
    <w:rsid w:val="005339A3"/>
    <w:rsid w:val="00534028"/>
    <w:rsid w:val="0053447E"/>
    <w:rsid w:val="00534B51"/>
    <w:rsid w:val="00534C95"/>
    <w:rsid w:val="0053570A"/>
    <w:rsid w:val="005358DF"/>
    <w:rsid w:val="00535AB7"/>
    <w:rsid w:val="00535AC5"/>
    <w:rsid w:val="00535C8B"/>
    <w:rsid w:val="0053642D"/>
    <w:rsid w:val="00536D4E"/>
    <w:rsid w:val="00537554"/>
    <w:rsid w:val="00537EEE"/>
    <w:rsid w:val="00537F76"/>
    <w:rsid w:val="005404C6"/>
    <w:rsid w:val="00540C43"/>
    <w:rsid w:val="0054170B"/>
    <w:rsid w:val="005417F8"/>
    <w:rsid w:val="00541899"/>
    <w:rsid w:val="00541BB3"/>
    <w:rsid w:val="0054242E"/>
    <w:rsid w:val="0054282E"/>
    <w:rsid w:val="005428CB"/>
    <w:rsid w:val="0054296A"/>
    <w:rsid w:val="005429DF"/>
    <w:rsid w:val="00542A3D"/>
    <w:rsid w:val="00542AE5"/>
    <w:rsid w:val="00542D10"/>
    <w:rsid w:val="00542DA5"/>
    <w:rsid w:val="005433D7"/>
    <w:rsid w:val="005441F9"/>
    <w:rsid w:val="005447D6"/>
    <w:rsid w:val="005447F7"/>
    <w:rsid w:val="00545357"/>
    <w:rsid w:val="00546137"/>
    <w:rsid w:val="00546F78"/>
    <w:rsid w:val="00547AA1"/>
    <w:rsid w:val="00547B70"/>
    <w:rsid w:val="00550933"/>
    <w:rsid w:val="00551D18"/>
    <w:rsid w:val="0055204C"/>
    <w:rsid w:val="0055209A"/>
    <w:rsid w:val="005526C9"/>
    <w:rsid w:val="00553553"/>
    <w:rsid w:val="0055370B"/>
    <w:rsid w:val="00553DBB"/>
    <w:rsid w:val="00553E2B"/>
    <w:rsid w:val="00553FA2"/>
    <w:rsid w:val="005546F9"/>
    <w:rsid w:val="00554708"/>
    <w:rsid w:val="00554D2F"/>
    <w:rsid w:val="005551DF"/>
    <w:rsid w:val="005558F4"/>
    <w:rsid w:val="00555992"/>
    <w:rsid w:val="00555C2A"/>
    <w:rsid w:val="00555DA7"/>
    <w:rsid w:val="00556008"/>
    <w:rsid w:val="0055679E"/>
    <w:rsid w:val="0055712F"/>
    <w:rsid w:val="00557871"/>
    <w:rsid w:val="005600AD"/>
    <w:rsid w:val="00560565"/>
    <w:rsid w:val="0056064A"/>
    <w:rsid w:val="00560CBC"/>
    <w:rsid w:val="005613CE"/>
    <w:rsid w:val="00561AF6"/>
    <w:rsid w:val="005620DC"/>
    <w:rsid w:val="00562161"/>
    <w:rsid w:val="00562927"/>
    <w:rsid w:val="00562EA7"/>
    <w:rsid w:val="0056399B"/>
    <w:rsid w:val="00563D13"/>
    <w:rsid w:val="0056410B"/>
    <w:rsid w:val="00564270"/>
    <w:rsid w:val="00564580"/>
    <w:rsid w:val="005647B7"/>
    <w:rsid w:val="005655DC"/>
    <w:rsid w:val="00566B34"/>
    <w:rsid w:val="005676F7"/>
    <w:rsid w:val="0056785F"/>
    <w:rsid w:val="00567B24"/>
    <w:rsid w:val="005704C9"/>
    <w:rsid w:val="00570638"/>
    <w:rsid w:val="00570781"/>
    <w:rsid w:val="00570D5D"/>
    <w:rsid w:val="00570DDC"/>
    <w:rsid w:val="00570FF0"/>
    <w:rsid w:val="00571122"/>
    <w:rsid w:val="0057116F"/>
    <w:rsid w:val="0057191D"/>
    <w:rsid w:val="00571C60"/>
    <w:rsid w:val="00572483"/>
    <w:rsid w:val="00572944"/>
    <w:rsid w:val="00572C8B"/>
    <w:rsid w:val="00573873"/>
    <w:rsid w:val="00573AFF"/>
    <w:rsid w:val="00573F6D"/>
    <w:rsid w:val="00573F8B"/>
    <w:rsid w:val="00574636"/>
    <w:rsid w:val="005749BE"/>
    <w:rsid w:val="00575218"/>
    <w:rsid w:val="00575283"/>
    <w:rsid w:val="00575BA8"/>
    <w:rsid w:val="00575DFA"/>
    <w:rsid w:val="00575E19"/>
    <w:rsid w:val="00575E6E"/>
    <w:rsid w:val="005764B5"/>
    <w:rsid w:val="005764E3"/>
    <w:rsid w:val="0057674A"/>
    <w:rsid w:val="00576AC1"/>
    <w:rsid w:val="00576F7A"/>
    <w:rsid w:val="005774FA"/>
    <w:rsid w:val="0057751B"/>
    <w:rsid w:val="0057760F"/>
    <w:rsid w:val="0058007A"/>
    <w:rsid w:val="00580B31"/>
    <w:rsid w:val="00580D44"/>
    <w:rsid w:val="00580DE1"/>
    <w:rsid w:val="00581978"/>
    <w:rsid w:val="00581AF6"/>
    <w:rsid w:val="00582C5D"/>
    <w:rsid w:val="00582D23"/>
    <w:rsid w:val="005830D9"/>
    <w:rsid w:val="00583AFC"/>
    <w:rsid w:val="005846B3"/>
    <w:rsid w:val="005859CA"/>
    <w:rsid w:val="005859EF"/>
    <w:rsid w:val="00585A1E"/>
    <w:rsid w:val="00586136"/>
    <w:rsid w:val="0058654A"/>
    <w:rsid w:val="00587184"/>
    <w:rsid w:val="005873F0"/>
    <w:rsid w:val="00587722"/>
    <w:rsid w:val="00590194"/>
    <w:rsid w:val="0059030E"/>
    <w:rsid w:val="00590498"/>
    <w:rsid w:val="00590AD1"/>
    <w:rsid w:val="005916F6"/>
    <w:rsid w:val="005917B2"/>
    <w:rsid w:val="00591F43"/>
    <w:rsid w:val="005921F9"/>
    <w:rsid w:val="005925A4"/>
    <w:rsid w:val="0059286E"/>
    <w:rsid w:val="00592F37"/>
    <w:rsid w:val="005937AC"/>
    <w:rsid w:val="00593890"/>
    <w:rsid w:val="00593C63"/>
    <w:rsid w:val="0059420B"/>
    <w:rsid w:val="0059437A"/>
    <w:rsid w:val="00594DFF"/>
    <w:rsid w:val="00595119"/>
    <w:rsid w:val="0059576F"/>
    <w:rsid w:val="0059657F"/>
    <w:rsid w:val="00596714"/>
    <w:rsid w:val="005969CF"/>
    <w:rsid w:val="00597021"/>
    <w:rsid w:val="00597401"/>
    <w:rsid w:val="00597C2A"/>
    <w:rsid w:val="005A023B"/>
    <w:rsid w:val="005A05FC"/>
    <w:rsid w:val="005A17D9"/>
    <w:rsid w:val="005A1A14"/>
    <w:rsid w:val="005A1A5F"/>
    <w:rsid w:val="005A298B"/>
    <w:rsid w:val="005A3357"/>
    <w:rsid w:val="005A33F0"/>
    <w:rsid w:val="005A3431"/>
    <w:rsid w:val="005A3525"/>
    <w:rsid w:val="005A353E"/>
    <w:rsid w:val="005A3EBB"/>
    <w:rsid w:val="005A3FDD"/>
    <w:rsid w:val="005A4410"/>
    <w:rsid w:val="005A4F58"/>
    <w:rsid w:val="005A54A9"/>
    <w:rsid w:val="005A6119"/>
    <w:rsid w:val="005A630E"/>
    <w:rsid w:val="005A643F"/>
    <w:rsid w:val="005A69E5"/>
    <w:rsid w:val="005A70EA"/>
    <w:rsid w:val="005A79EF"/>
    <w:rsid w:val="005B0098"/>
    <w:rsid w:val="005B00E1"/>
    <w:rsid w:val="005B05C2"/>
    <w:rsid w:val="005B091D"/>
    <w:rsid w:val="005B092B"/>
    <w:rsid w:val="005B11CA"/>
    <w:rsid w:val="005B128B"/>
    <w:rsid w:val="005B12E7"/>
    <w:rsid w:val="005B1AA0"/>
    <w:rsid w:val="005B20AC"/>
    <w:rsid w:val="005B23A4"/>
    <w:rsid w:val="005B2416"/>
    <w:rsid w:val="005B2418"/>
    <w:rsid w:val="005B2663"/>
    <w:rsid w:val="005B2A12"/>
    <w:rsid w:val="005B3525"/>
    <w:rsid w:val="005B41D2"/>
    <w:rsid w:val="005B4956"/>
    <w:rsid w:val="005B4E6F"/>
    <w:rsid w:val="005B4EB3"/>
    <w:rsid w:val="005B6410"/>
    <w:rsid w:val="005B6882"/>
    <w:rsid w:val="005B6C18"/>
    <w:rsid w:val="005B72F4"/>
    <w:rsid w:val="005B738F"/>
    <w:rsid w:val="005B7717"/>
    <w:rsid w:val="005B7DB4"/>
    <w:rsid w:val="005C00B7"/>
    <w:rsid w:val="005C0548"/>
    <w:rsid w:val="005C0A90"/>
    <w:rsid w:val="005C0EDF"/>
    <w:rsid w:val="005C12B9"/>
    <w:rsid w:val="005C1FE9"/>
    <w:rsid w:val="005C227B"/>
    <w:rsid w:val="005C2F5E"/>
    <w:rsid w:val="005C2FD4"/>
    <w:rsid w:val="005C317B"/>
    <w:rsid w:val="005C325C"/>
    <w:rsid w:val="005C3720"/>
    <w:rsid w:val="005C399B"/>
    <w:rsid w:val="005C3C89"/>
    <w:rsid w:val="005C3D40"/>
    <w:rsid w:val="005C3F08"/>
    <w:rsid w:val="005C4326"/>
    <w:rsid w:val="005C4368"/>
    <w:rsid w:val="005C45D8"/>
    <w:rsid w:val="005C4990"/>
    <w:rsid w:val="005C4C2D"/>
    <w:rsid w:val="005C50D5"/>
    <w:rsid w:val="005C5131"/>
    <w:rsid w:val="005C521C"/>
    <w:rsid w:val="005C5588"/>
    <w:rsid w:val="005C599E"/>
    <w:rsid w:val="005C5EDF"/>
    <w:rsid w:val="005C614D"/>
    <w:rsid w:val="005C62E2"/>
    <w:rsid w:val="005C69F0"/>
    <w:rsid w:val="005C7CC2"/>
    <w:rsid w:val="005C7D4E"/>
    <w:rsid w:val="005D03F5"/>
    <w:rsid w:val="005D07E9"/>
    <w:rsid w:val="005D12C9"/>
    <w:rsid w:val="005D17BF"/>
    <w:rsid w:val="005D1B5F"/>
    <w:rsid w:val="005D1DFE"/>
    <w:rsid w:val="005D245C"/>
    <w:rsid w:val="005D260B"/>
    <w:rsid w:val="005D2C4C"/>
    <w:rsid w:val="005D3150"/>
    <w:rsid w:val="005D35D2"/>
    <w:rsid w:val="005D3687"/>
    <w:rsid w:val="005D36AA"/>
    <w:rsid w:val="005D3AC8"/>
    <w:rsid w:val="005D45F6"/>
    <w:rsid w:val="005D482A"/>
    <w:rsid w:val="005D510D"/>
    <w:rsid w:val="005D5374"/>
    <w:rsid w:val="005D5560"/>
    <w:rsid w:val="005D576D"/>
    <w:rsid w:val="005D59DD"/>
    <w:rsid w:val="005D5ABC"/>
    <w:rsid w:val="005D5D7A"/>
    <w:rsid w:val="005D62A8"/>
    <w:rsid w:val="005D65EE"/>
    <w:rsid w:val="005D67FD"/>
    <w:rsid w:val="005D695A"/>
    <w:rsid w:val="005D7799"/>
    <w:rsid w:val="005D78AB"/>
    <w:rsid w:val="005D7DB7"/>
    <w:rsid w:val="005E080F"/>
    <w:rsid w:val="005E10CB"/>
    <w:rsid w:val="005E1591"/>
    <w:rsid w:val="005E1676"/>
    <w:rsid w:val="005E2181"/>
    <w:rsid w:val="005E2450"/>
    <w:rsid w:val="005E2647"/>
    <w:rsid w:val="005E3347"/>
    <w:rsid w:val="005E3FD3"/>
    <w:rsid w:val="005E4754"/>
    <w:rsid w:val="005E5028"/>
    <w:rsid w:val="005E506C"/>
    <w:rsid w:val="005E50B0"/>
    <w:rsid w:val="005E5A44"/>
    <w:rsid w:val="005E5A73"/>
    <w:rsid w:val="005E5BFD"/>
    <w:rsid w:val="005E6BA1"/>
    <w:rsid w:val="005E6CDE"/>
    <w:rsid w:val="005E6DEC"/>
    <w:rsid w:val="005E6F0E"/>
    <w:rsid w:val="005E6F4C"/>
    <w:rsid w:val="005E766F"/>
    <w:rsid w:val="005E76E8"/>
    <w:rsid w:val="005E7783"/>
    <w:rsid w:val="005E7BBE"/>
    <w:rsid w:val="005E7C5E"/>
    <w:rsid w:val="005F001D"/>
    <w:rsid w:val="005F0443"/>
    <w:rsid w:val="005F0A98"/>
    <w:rsid w:val="005F0C90"/>
    <w:rsid w:val="005F1078"/>
    <w:rsid w:val="005F11E5"/>
    <w:rsid w:val="005F165A"/>
    <w:rsid w:val="005F16F7"/>
    <w:rsid w:val="005F2B2C"/>
    <w:rsid w:val="005F2EB7"/>
    <w:rsid w:val="005F31FA"/>
    <w:rsid w:val="005F34B5"/>
    <w:rsid w:val="005F364E"/>
    <w:rsid w:val="005F38B2"/>
    <w:rsid w:val="005F4518"/>
    <w:rsid w:val="005F49F8"/>
    <w:rsid w:val="005F4AF1"/>
    <w:rsid w:val="005F4D6D"/>
    <w:rsid w:val="005F52CC"/>
    <w:rsid w:val="005F5756"/>
    <w:rsid w:val="005F5804"/>
    <w:rsid w:val="005F5DDE"/>
    <w:rsid w:val="005F5F9D"/>
    <w:rsid w:val="005F6180"/>
    <w:rsid w:val="005F619C"/>
    <w:rsid w:val="005F64DB"/>
    <w:rsid w:val="005F670A"/>
    <w:rsid w:val="005F68FB"/>
    <w:rsid w:val="005F6FE7"/>
    <w:rsid w:val="005F7466"/>
    <w:rsid w:val="005F75BB"/>
    <w:rsid w:val="005F7A5C"/>
    <w:rsid w:val="005F7B4E"/>
    <w:rsid w:val="00600199"/>
    <w:rsid w:val="00600499"/>
    <w:rsid w:val="006005E1"/>
    <w:rsid w:val="00600AA2"/>
    <w:rsid w:val="006014B4"/>
    <w:rsid w:val="006014BB"/>
    <w:rsid w:val="00601761"/>
    <w:rsid w:val="00601AAD"/>
    <w:rsid w:val="00601E20"/>
    <w:rsid w:val="00601EEA"/>
    <w:rsid w:val="006021DC"/>
    <w:rsid w:val="00602422"/>
    <w:rsid w:val="00602844"/>
    <w:rsid w:val="006032DB"/>
    <w:rsid w:val="00603F0C"/>
    <w:rsid w:val="00604EE4"/>
    <w:rsid w:val="00604FC8"/>
    <w:rsid w:val="00606E3A"/>
    <w:rsid w:val="00606E3E"/>
    <w:rsid w:val="00607207"/>
    <w:rsid w:val="00607BDA"/>
    <w:rsid w:val="00607CD4"/>
    <w:rsid w:val="00607F57"/>
    <w:rsid w:val="00610928"/>
    <w:rsid w:val="00610D52"/>
    <w:rsid w:val="00610DB0"/>
    <w:rsid w:val="006118C4"/>
    <w:rsid w:val="006118D6"/>
    <w:rsid w:val="00611AEE"/>
    <w:rsid w:val="00612082"/>
    <w:rsid w:val="00612304"/>
    <w:rsid w:val="00612382"/>
    <w:rsid w:val="006128AA"/>
    <w:rsid w:val="00612C24"/>
    <w:rsid w:val="006138AD"/>
    <w:rsid w:val="00613BB6"/>
    <w:rsid w:val="00613DE5"/>
    <w:rsid w:val="00613F6B"/>
    <w:rsid w:val="006142C5"/>
    <w:rsid w:val="00614321"/>
    <w:rsid w:val="00614421"/>
    <w:rsid w:val="00615361"/>
    <w:rsid w:val="00615FB7"/>
    <w:rsid w:val="006170D1"/>
    <w:rsid w:val="00620973"/>
    <w:rsid w:val="00621216"/>
    <w:rsid w:val="00621B41"/>
    <w:rsid w:val="00621C14"/>
    <w:rsid w:val="00621F6E"/>
    <w:rsid w:val="006221B9"/>
    <w:rsid w:val="00622814"/>
    <w:rsid w:val="006229F3"/>
    <w:rsid w:val="00622AC7"/>
    <w:rsid w:val="00622C09"/>
    <w:rsid w:val="00623003"/>
    <w:rsid w:val="006233C6"/>
    <w:rsid w:val="00623472"/>
    <w:rsid w:val="00623E7D"/>
    <w:rsid w:val="00624381"/>
    <w:rsid w:val="00624DFF"/>
    <w:rsid w:val="00624F20"/>
    <w:rsid w:val="00625209"/>
    <w:rsid w:val="00626492"/>
    <w:rsid w:val="00626E44"/>
    <w:rsid w:val="00627169"/>
    <w:rsid w:val="00627411"/>
    <w:rsid w:val="00627A10"/>
    <w:rsid w:val="00627E20"/>
    <w:rsid w:val="0063065D"/>
    <w:rsid w:val="00630C40"/>
    <w:rsid w:val="00630E1B"/>
    <w:rsid w:val="006318AE"/>
    <w:rsid w:val="006323F6"/>
    <w:rsid w:val="006332CA"/>
    <w:rsid w:val="00633B8E"/>
    <w:rsid w:val="00633EE9"/>
    <w:rsid w:val="00633FCB"/>
    <w:rsid w:val="00634144"/>
    <w:rsid w:val="00634235"/>
    <w:rsid w:val="0063424F"/>
    <w:rsid w:val="0063446C"/>
    <w:rsid w:val="006344FB"/>
    <w:rsid w:val="0063492C"/>
    <w:rsid w:val="0063582A"/>
    <w:rsid w:val="00635845"/>
    <w:rsid w:val="00635852"/>
    <w:rsid w:val="00635CCE"/>
    <w:rsid w:val="00636831"/>
    <w:rsid w:val="00636A06"/>
    <w:rsid w:val="00636A4F"/>
    <w:rsid w:val="00636D7A"/>
    <w:rsid w:val="00636E5C"/>
    <w:rsid w:val="00636F98"/>
    <w:rsid w:val="00637192"/>
    <w:rsid w:val="00637709"/>
    <w:rsid w:val="00637AEB"/>
    <w:rsid w:val="00637F04"/>
    <w:rsid w:val="0064006D"/>
    <w:rsid w:val="00640873"/>
    <w:rsid w:val="006408D6"/>
    <w:rsid w:val="00640E63"/>
    <w:rsid w:val="00642186"/>
    <w:rsid w:val="006423CB"/>
    <w:rsid w:val="0064290B"/>
    <w:rsid w:val="00642C9A"/>
    <w:rsid w:val="00642CB6"/>
    <w:rsid w:val="00643AF6"/>
    <w:rsid w:val="00643B9A"/>
    <w:rsid w:val="00643DD2"/>
    <w:rsid w:val="00643ED5"/>
    <w:rsid w:val="00644DEF"/>
    <w:rsid w:val="006450D3"/>
    <w:rsid w:val="0064553B"/>
    <w:rsid w:val="00645581"/>
    <w:rsid w:val="00645A30"/>
    <w:rsid w:val="00645DC5"/>
    <w:rsid w:val="00645E80"/>
    <w:rsid w:val="00646031"/>
    <w:rsid w:val="00646151"/>
    <w:rsid w:val="00646D18"/>
    <w:rsid w:val="00646E04"/>
    <w:rsid w:val="00647016"/>
    <w:rsid w:val="0064703F"/>
    <w:rsid w:val="0064725B"/>
    <w:rsid w:val="006476C8"/>
    <w:rsid w:val="00647E97"/>
    <w:rsid w:val="00650254"/>
    <w:rsid w:val="00650D90"/>
    <w:rsid w:val="00651347"/>
    <w:rsid w:val="006513BF"/>
    <w:rsid w:val="00651DE0"/>
    <w:rsid w:val="006520E8"/>
    <w:rsid w:val="00652B92"/>
    <w:rsid w:val="00653207"/>
    <w:rsid w:val="00653608"/>
    <w:rsid w:val="00653894"/>
    <w:rsid w:val="00653955"/>
    <w:rsid w:val="00654A67"/>
    <w:rsid w:val="00654AE5"/>
    <w:rsid w:val="00654FBC"/>
    <w:rsid w:val="0065518B"/>
    <w:rsid w:val="0065528E"/>
    <w:rsid w:val="006553F3"/>
    <w:rsid w:val="00655DEC"/>
    <w:rsid w:val="00656244"/>
    <w:rsid w:val="0065635A"/>
    <w:rsid w:val="006563A1"/>
    <w:rsid w:val="0065686B"/>
    <w:rsid w:val="00656B53"/>
    <w:rsid w:val="00656C2A"/>
    <w:rsid w:val="00657399"/>
    <w:rsid w:val="006576FE"/>
    <w:rsid w:val="00660105"/>
    <w:rsid w:val="0066113F"/>
    <w:rsid w:val="0066145F"/>
    <w:rsid w:val="00661B20"/>
    <w:rsid w:val="00661C8B"/>
    <w:rsid w:val="00661E8D"/>
    <w:rsid w:val="00661F06"/>
    <w:rsid w:val="00661F9E"/>
    <w:rsid w:val="0066229D"/>
    <w:rsid w:val="006625CE"/>
    <w:rsid w:val="00663079"/>
    <w:rsid w:val="0066308A"/>
    <w:rsid w:val="006630FE"/>
    <w:rsid w:val="006638FB"/>
    <w:rsid w:val="00663AA6"/>
    <w:rsid w:val="00663DBC"/>
    <w:rsid w:val="0066447D"/>
    <w:rsid w:val="0066462E"/>
    <w:rsid w:val="00664B33"/>
    <w:rsid w:val="00664F5C"/>
    <w:rsid w:val="006653E3"/>
    <w:rsid w:val="006656E4"/>
    <w:rsid w:val="00665A69"/>
    <w:rsid w:val="00666131"/>
    <w:rsid w:val="00666875"/>
    <w:rsid w:val="00666E01"/>
    <w:rsid w:val="00667464"/>
    <w:rsid w:val="00670237"/>
    <w:rsid w:val="00670736"/>
    <w:rsid w:val="0067089C"/>
    <w:rsid w:val="00671CC4"/>
    <w:rsid w:val="006720BE"/>
    <w:rsid w:val="006723C0"/>
    <w:rsid w:val="006726AD"/>
    <w:rsid w:val="006734ED"/>
    <w:rsid w:val="00673768"/>
    <w:rsid w:val="00673B5F"/>
    <w:rsid w:val="00673E6C"/>
    <w:rsid w:val="00673E76"/>
    <w:rsid w:val="006749B1"/>
    <w:rsid w:val="0067538F"/>
    <w:rsid w:val="00675502"/>
    <w:rsid w:val="00676323"/>
    <w:rsid w:val="00676D1C"/>
    <w:rsid w:val="00676DC5"/>
    <w:rsid w:val="00676EA4"/>
    <w:rsid w:val="0067715F"/>
    <w:rsid w:val="00677342"/>
    <w:rsid w:val="00677DB7"/>
    <w:rsid w:val="006800AA"/>
    <w:rsid w:val="00680279"/>
    <w:rsid w:val="00680312"/>
    <w:rsid w:val="006803C2"/>
    <w:rsid w:val="00680493"/>
    <w:rsid w:val="00680566"/>
    <w:rsid w:val="006808E7"/>
    <w:rsid w:val="00681C1B"/>
    <w:rsid w:val="00681D04"/>
    <w:rsid w:val="0068203F"/>
    <w:rsid w:val="00682313"/>
    <w:rsid w:val="00682C8B"/>
    <w:rsid w:val="006838CB"/>
    <w:rsid w:val="00683BB5"/>
    <w:rsid w:val="00683CCA"/>
    <w:rsid w:val="0068405A"/>
    <w:rsid w:val="00684126"/>
    <w:rsid w:val="00684DE3"/>
    <w:rsid w:val="00685536"/>
    <w:rsid w:val="00685CDE"/>
    <w:rsid w:val="006864DD"/>
    <w:rsid w:val="006866A1"/>
    <w:rsid w:val="00686863"/>
    <w:rsid w:val="006869C9"/>
    <w:rsid w:val="00686BEA"/>
    <w:rsid w:val="00686E8D"/>
    <w:rsid w:val="006872A3"/>
    <w:rsid w:val="00687622"/>
    <w:rsid w:val="006876C2"/>
    <w:rsid w:val="006907BE"/>
    <w:rsid w:val="00690D93"/>
    <w:rsid w:val="00690E62"/>
    <w:rsid w:val="00690E7A"/>
    <w:rsid w:val="00690E7C"/>
    <w:rsid w:val="00690FFD"/>
    <w:rsid w:val="0069145F"/>
    <w:rsid w:val="0069148B"/>
    <w:rsid w:val="00691C46"/>
    <w:rsid w:val="00691DDE"/>
    <w:rsid w:val="006923A2"/>
    <w:rsid w:val="006927E8"/>
    <w:rsid w:val="00693071"/>
    <w:rsid w:val="00693155"/>
    <w:rsid w:val="00693364"/>
    <w:rsid w:val="006939A5"/>
    <w:rsid w:val="00693B67"/>
    <w:rsid w:val="00693F8B"/>
    <w:rsid w:val="006944D3"/>
    <w:rsid w:val="006954E5"/>
    <w:rsid w:val="006955FC"/>
    <w:rsid w:val="00695CFC"/>
    <w:rsid w:val="00695F1B"/>
    <w:rsid w:val="00696061"/>
    <w:rsid w:val="00696485"/>
    <w:rsid w:val="00697307"/>
    <w:rsid w:val="0069739F"/>
    <w:rsid w:val="00697E6D"/>
    <w:rsid w:val="006A035D"/>
    <w:rsid w:val="006A0A6B"/>
    <w:rsid w:val="006A0DBB"/>
    <w:rsid w:val="006A178D"/>
    <w:rsid w:val="006A192E"/>
    <w:rsid w:val="006A1BE8"/>
    <w:rsid w:val="006A2FEA"/>
    <w:rsid w:val="006A3C5B"/>
    <w:rsid w:val="006A45B3"/>
    <w:rsid w:val="006A4710"/>
    <w:rsid w:val="006A565B"/>
    <w:rsid w:val="006A68CB"/>
    <w:rsid w:val="006A6BC2"/>
    <w:rsid w:val="006A7285"/>
    <w:rsid w:val="006A7678"/>
    <w:rsid w:val="006B0385"/>
    <w:rsid w:val="006B088F"/>
    <w:rsid w:val="006B24FE"/>
    <w:rsid w:val="006B2CC9"/>
    <w:rsid w:val="006B300E"/>
    <w:rsid w:val="006B3A11"/>
    <w:rsid w:val="006B4121"/>
    <w:rsid w:val="006B4677"/>
    <w:rsid w:val="006B4798"/>
    <w:rsid w:val="006B5182"/>
    <w:rsid w:val="006B5203"/>
    <w:rsid w:val="006B545A"/>
    <w:rsid w:val="006B5694"/>
    <w:rsid w:val="006B5E51"/>
    <w:rsid w:val="006B6289"/>
    <w:rsid w:val="006B628B"/>
    <w:rsid w:val="006B6735"/>
    <w:rsid w:val="006B6A04"/>
    <w:rsid w:val="006B6F04"/>
    <w:rsid w:val="006B6FE5"/>
    <w:rsid w:val="006B7914"/>
    <w:rsid w:val="006B7ACB"/>
    <w:rsid w:val="006B7B56"/>
    <w:rsid w:val="006B7C46"/>
    <w:rsid w:val="006C0051"/>
    <w:rsid w:val="006C0B9D"/>
    <w:rsid w:val="006C14F0"/>
    <w:rsid w:val="006C2A46"/>
    <w:rsid w:val="006C3145"/>
    <w:rsid w:val="006C3512"/>
    <w:rsid w:val="006C42EF"/>
    <w:rsid w:val="006C4B7A"/>
    <w:rsid w:val="006C4BF2"/>
    <w:rsid w:val="006C4F2A"/>
    <w:rsid w:val="006C5805"/>
    <w:rsid w:val="006C5994"/>
    <w:rsid w:val="006C5AA7"/>
    <w:rsid w:val="006C5AF3"/>
    <w:rsid w:val="006C5DFB"/>
    <w:rsid w:val="006C61D7"/>
    <w:rsid w:val="006C63F4"/>
    <w:rsid w:val="006C6977"/>
    <w:rsid w:val="006C705D"/>
    <w:rsid w:val="006C73E9"/>
    <w:rsid w:val="006C7544"/>
    <w:rsid w:val="006C7AD9"/>
    <w:rsid w:val="006D10F2"/>
    <w:rsid w:val="006D123A"/>
    <w:rsid w:val="006D195B"/>
    <w:rsid w:val="006D198D"/>
    <w:rsid w:val="006D220D"/>
    <w:rsid w:val="006D2541"/>
    <w:rsid w:val="006D2757"/>
    <w:rsid w:val="006D2B50"/>
    <w:rsid w:val="006D2DFB"/>
    <w:rsid w:val="006D2EE9"/>
    <w:rsid w:val="006D30DC"/>
    <w:rsid w:val="006D4974"/>
    <w:rsid w:val="006D4DA2"/>
    <w:rsid w:val="006D5140"/>
    <w:rsid w:val="006D5312"/>
    <w:rsid w:val="006D5908"/>
    <w:rsid w:val="006D692A"/>
    <w:rsid w:val="006D7551"/>
    <w:rsid w:val="006D7C1D"/>
    <w:rsid w:val="006D7D43"/>
    <w:rsid w:val="006D7D5D"/>
    <w:rsid w:val="006D7FD1"/>
    <w:rsid w:val="006E03A5"/>
    <w:rsid w:val="006E10FB"/>
    <w:rsid w:val="006E1460"/>
    <w:rsid w:val="006E16B6"/>
    <w:rsid w:val="006E1CD1"/>
    <w:rsid w:val="006E1EB6"/>
    <w:rsid w:val="006E364E"/>
    <w:rsid w:val="006E3675"/>
    <w:rsid w:val="006E4708"/>
    <w:rsid w:val="006E4859"/>
    <w:rsid w:val="006E4A4F"/>
    <w:rsid w:val="006E4BE9"/>
    <w:rsid w:val="006E4E0F"/>
    <w:rsid w:val="006E557A"/>
    <w:rsid w:val="006E591E"/>
    <w:rsid w:val="006E5F01"/>
    <w:rsid w:val="006E602B"/>
    <w:rsid w:val="006E62A0"/>
    <w:rsid w:val="006E6E91"/>
    <w:rsid w:val="006E72CF"/>
    <w:rsid w:val="006E7464"/>
    <w:rsid w:val="006E7795"/>
    <w:rsid w:val="006E7AAD"/>
    <w:rsid w:val="006E7ED5"/>
    <w:rsid w:val="006F03EA"/>
    <w:rsid w:val="006F068B"/>
    <w:rsid w:val="006F0C32"/>
    <w:rsid w:val="006F0CB3"/>
    <w:rsid w:val="006F1434"/>
    <w:rsid w:val="006F14AD"/>
    <w:rsid w:val="006F1A66"/>
    <w:rsid w:val="006F1DAB"/>
    <w:rsid w:val="006F24CB"/>
    <w:rsid w:val="006F299C"/>
    <w:rsid w:val="006F2CF4"/>
    <w:rsid w:val="006F2F00"/>
    <w:rsid w:val="006F2FF0"/>
    <w:rsid w:val="006F415F"/>
    <w:rsid w:val="006F4559"/>
    <w:rsid w:val="006F47AB"/>
    <w:rsid w:val="006F4E87"/>
    <w:rsid w:val="006F5DC3"/>
    <w:rsid w:val="006F5E90"/>
    <w:rsid w:val="006F5F7B"/>
    <w:rsid w:val="006F7263"/>
    <w:rsid w:val="006F7A85"/>
    <w:rsid w:val="00700AC2"/>
    <w:rsid w:val="00700C15"/>
    <w:rsid w:val="00701CEA"/>
    <w:rsid w:val="00702169"/>
    <w:rsid w:val="00702BE4"/>
    <w:rsid w:val="00702C22"/>
    <w:rsid w:val="00702DB4"/>
    <w:rsid w:val="00702E6D"/>
    <w:rsid w:val="00703416"/>
    <w:rsid w:val="0070363D"/>
    <w:rsid w:val="00703DEF"/>
    <w:rsid w:val="0070440C"/>
    <w:rsid w:val="00705B1A"/>
    <w:rsid w:val="00705DEA"/>
    <w:rsid w:val="0070628B"/>
    <w:rsid w:val="007066FE"/>
    <w:rsid w:val="007070E4"/>
    <w:rsid w:val="007072D2"/>
    <w:rsid w:val="0070769A"/>
    <w:rsid w:val="00707815"/>
    <w:rsid w:val="00707A73"/>
    <w:rsid w:val="00707E87"/>
    <w:rsid w:val="0071004C"/>
    <w:rsid w:val="0071044F"/>
    <w:rsid w:val="007107F5"/>
    <w:rsid w:val="00710879"/>
    <w:rsid w:val="00710FAB"/>
    <w:rsid w:val="007119F4"/>
    <w:rsid w:val="00711B1A"/>
    <w:rsid w:val="00711F50"/>
    <w:rsid w:val="00712A89"/>
    <w:rsid w:val="0071320F"/>
    <w:rsid w:val="0071368C"/>
    <w:rsid w:val="00713740"/>
    <w:rsid w:val="0071384F"/>
    <w:rsid w:val="007139B5"/>
    <w:rsid w:val="00713B1C"/>
    <w:rsid w:val="00714142"/>
    <w:rsid w:val="007142C2"/>
    <w:rsid w:val="0071467F"/>
    <w:rsid w:val="00714884"/>
    <w:rsid w:val="0071572B"/>
    <w:rsid w:val="007161F9"/>
    <w:rsid w:val="00716AF6"/>
    <w:rsid w:val="00717082"/>
    <w:rsid w:val="007170AE"/>
    <w:rsid w:val="00717EBA"/>
    <w:rsid w:val="00717ED9"/>
    <w:rsid w:val="00717F04"/>
    <w:rsid w:val="007205DA"/>
    <w:rsid w:val="007207A7"/>
    <w:rsid w:val="00720B06"/>
    <w:rsid w:val="00720BDF"/>
    <w:rsid w:val="00720C27"/>
    <w:rsid w:val="00720E24"/>
    <w:rsid w:val="00721BF7"/>
    <w:rsid w:val="00722216"/>
    <w:rsid w:val="0072227E"/>
    <w:rsid w:val="007227CC"/>
    <w:rsid w:val="00722A33"/>
    <w:rsid w:val="00722C4E"/>
    <w:rsid w:val="00722CDB"/>
    <w:rsid w:val="00722EFC"/>
    <w:rsid w:val="00723113"/>
    <w:rsid w:val="0072322D"/>
    <w:rsid w:val="00723851"/>
    <w:rsid w:val="007244A7"/>
    <w:rsid w:val="0072455B"/>
    <w:rsid w:val="00725316"/>
    <w:rsid w:val="007256EB"/>
    <w:rsid w:val="00725CC2"/>
    <w:rsid w:val="00727B8D"/>
    <w:rsid w:val="00730028"/>
    <w:rsid w:val="007302D2"/>
    <w:rsid w:val="007308EE"/>
    <w:rsid w:val="00730B5A"/>
    <w:rsid w:val="007311C4"/>
    <w:rsid w:val="007315D9"/>
    <w:rsid w:val="007316C9"/>
    <w:rsid w:val="0073175C"/>
    <w:rsid w:val="00731F1A"/>
    <w:rsid w:val="00732398"/>
    <w:rsid w:val="00732A88"/>
    <w:rsid w:val="007335B4"/>
    <w:rsid w:val="007337AA"/>
    <w:rsid w:val="007337F5"/>
    <w:rsid w:val="007343B1"/>
    <w:rsid w:val="00734E75"/>
    <w:rsid w:val="00734F87"/>
    <w:rsid w:val="007351DB"/>
    <w:rsid w:val="007355AB"/>
    <w:rsid w:val="00735AE3"/>
    <w:rsid w:val="00735D1C"/>
    <w:rsid w:val="0073626C"/>
    <w:rsid w:val="00736422"/>
    <w:rsid w:val="00736669"/>
    <w:rsid w:val="00736C96"/>
    <w:rsid w:val="00736DCC"/>
    <w:rsid w:val="007370B3"/>
    <w:rsid w:val="007376BB"/>
    <w:rsid w:val="00737953"/>
    <w:rsid w:val="00740379"/>
    <w:rsid w:val="00740A6A"/>
    <w:rsid w:val="00741EC1"/>
    <w:rsid w:val="007425E4"/>
    <w:rsid w:val="007432A4"/>
    <w:rsid w:val="0074334F"/>
    <w:rsid w:val="00743B65"/>
    <w:rsid w:val="0074448B"/>
    <w:rsid w:val="007444C5"/>
    <w:rsid w:val="0074459E"/>
    <w:rsid w:val="00745064"/>
    <w:rsid w:val="0074589C"/>
    <w:rsid w:val="00746900"/>
    <w:rsid w:val="00747616"/>
    <w:rsid w:val="00750A7F"/>
    <w:rsid w:val="00752539"/>
    <w:rsid w:val="007525A1"/>
    <w:rsid w:val="00752853"/>
    <w:rsid w:val="007528C4"/>
    <w:rsid w:val="00752C79"/>
    <w:rsid w:val="00753496"/>
    <w:rsid w:val="00753913"/>
    <w:rsid w:val="00753B66"/>
    <w:rsid w:val="007543FB"/>
    <w:rsid w:val="007545B8"/>
    <w:rsid w:val="00754A67"/>
    <w:rsid w:val="00754C9E"/>
    <w:rsid w:val="007551BA"/>
    <w:rsid w:val="0075528D"/>
    <w:rsid w:val="00755625"/>
    <w:rsid w:val="00755ACA"/>
    <w:rsid w:val="00755E3F"/>
    <w:rsid w:val="007561AA"/>
    <w:rsid w:val="00756B0C"/>
    <w:rsid w:val="00756D37"/>
    <w:rsid w:val="0075719E"/>
    <w:rsid w:val="0075721F"/>
    <w:rsid w:val="00757235"/>
    <w:rsid w:val="0075727F"/>
    <w:rsid w:val="00757399"/>
    <w:rsid w:val="007577F6"/>
    <w:rsid w:val="0075790F"/>
    <w:rsid w:val="007600E1"/>
    <w:rsid w:val="00760665"/>
    <w:rsid w:val="00760AFC"/>
    <w:rsid w:val="00760C25"/>
    <w:rsid w:val="00760E19"/>
    <w:rsid w:val="00760FD3"/>
    <w:rsid w:val="007616AD"/>
    <w:rsid w:val="00761838"/>
    <w:rsid w:val="00762947"/>
    <w:rsid w:val="00762BA5"/>
    <w:rsid w:val="00762EF6"/>
    <w:rsid w:val="00763992"/>
    <w:rsid w:val="007639B4"/>
    <w:rsid w:val="007639F2"/>
    <w:rsid w:val="00763AA1"/>
    <w:rsid w:val="0076454F"/>
    <w:rsid w:val="00764578"/>
    <w:rsid w:val="00764760"/>
    <w:rsid w:val="00764A27"/>
    <w:rsid w:val="0076500F"/>
    <w:rsid w:val="00765145"/>
    <w:rsid w:val="00765F9E"/>
    <w:rsid w:val="007660B2"/>
    <w:rsid w:val="00766924"/>
    <w:rsid w:val="00767114"/>
    <w:rsid w:val="0076788B"/>
    <w:rsid w:val="00767F00"/>
    <w:rsid w:val="0077015F"/>
    <w:rsid w:val="00770A3C"/>
    <w:rsid w:val="00770B64"/>
    <w:rsid w:val="007711D1"/>
    <w:rsid w:val="00771431"/>
    <w:rsid w:val="0077161C"/>
    <w:rsid w:val="007720BF"/>
    <w:rsid w:val="007727F5"/>
    <w:rsid w:val="00772DF5"/>
    <w:rsid w:val="00773689"/>
    <w:rsid w:val="00773A0E"/>
    <w:rsid w:val="00774134"/>
    <w:rsid w:val="007747A3"/>
    <w:rsid w:val="00775515"/>
    <w:rsid w:val="0077553D"/>
    <w:rsid w:val="00775725"/>
    <w:rsid w:val="00775E06"/>
    <w:rsid w:val="0077660A"/>
    <w:rsid w:val="007771F6"/>
    <w:rsid w:val="007778C9"/>
    <w:rsid w:val="00777A6B"/>
    <w:rsid w:val="0078161E"/>
    <w:rsid w:val="007817F5"/>
    <w:rsid w:val="00781CBD"/>
    <w:rsid w:val="00782118"/>
    <w:rsid w:val="00782410"/>
    <w:rsid w:val="007824EF"/>
    <w:rsid w:val="00782BA4"/>
    <w:rsid w:val="00782D08"/>
    <w:rsid w:val="007833A7"/>
    <w:rsid w:val="00783745"/>
    <w:rsid w:val="0078389A"/>
    <w:rsid w:val="00783A4E"/>
    <w:rsid w:val="00783E68"/>
    <w:rsid w:val="007845FC"/>
    <w:rsid w:val="0078479E"/>
    <w:rsid w:val="00784C13"/>
    <w:rsid w:val="0078504B"/>
    <w:rsid w:val="00785882"/>
    <w:rsid w:val="007858BD"/>
    <w:rsid w:val="00785951"/>
    <w:rsid w:val="007859B3"/>
    <w:rsid w:val="00785FE2"/>
    <w:rsid w:val="007865DE"/>
    <w:rsid w:val="007873A4"/>
    <w:rsid w:val="00787618"/>
    <w:rsid w:val="00787A1F"/>
    <w:rsid w:val="00787D42"/>
    <w:rsid w:val="00787E92"/>
    <w:rsid w:val="00790EBD"/>
    <w:rsid w:val="00790EE4"/>
    <w:rsid w:val="00791242"/>
    <w:rsid w:val="007912D4"/>
    <w:rsid w:val="0079133E"/>
    <w:rsid w:val="0079160A"/>
    <w:rsid w:val="00791690"/>
    <w:rsid w:val="00791693"/>
    <w:rsid w:val="00791E2F"/>
    <w:rsid w:val="00791FEE"/>
    <w:rsid w:val="0079260A"/>
    <w:rsid w:val="00792B94"/>
    <w:rsid w:val="007936C9"/>
    <w:rsid w:val="007942F6"/>
    <w:rsid w:val="007948E2"/>
    <w:rsid w:val="00794D8A"/>
    <w:rsid w:val="00795082"/>
    <w:rsid w:val="007953C5"/>
    <w:rsid w:val="007957A3"/>
    <w:rsid w:val="007958DE"/>
    <w:rsid w:val="0079680D"/>
    <w:rsid w:val="0079722A"/>
    <w:rsid w:val="0079746E"/>
    <w:rsid w:val="007A0126"/>
    <w:rsid w:val="007A051C"/>
    <w:rsid w:val="007A096E"/>
    <w:rsid w:val="007A0AD1"/>
    <w:rsid w:val="007A0D91"/>
    <w:rsid w:val="007A1D17"/>
    <w:rsid w:val="007A251A"/>
    <w:rsid w:val="007A2E8A"/>
    <w:rsid w:val="007A35FF"/>
    <w:rsid w:val="007A432A"/>
    <w:rsid w:val="007A4FDF"/>
    <w:rsid w:val="007A56A5"/>
    <w:rsid w:val="007A5E1C"/>
    <w:rsid w:val="007A5FFF"/>
    <w:rsid w:val="007A6169"/>
    <w:rsid w:val="007A686F"/>
    <w:rsid w:val="007A700F"/>
    <w:rsid w:val="007A708C"/>
    <w:rsid w:val="007A71B0"/>
    <w:rsid w:val="007B03C1"/>
    <w:rsid w:val="007B03DB"/>
    <w:rsid w:val="007B0918"/>
    <w:rsid w:val="007B113F"/>
    <w:rsid w:val="007B12D7"/>
    <w:rsid w:val="007B19E1"/>
    <w:rsid w:val="007B1A73"/>
    <w:rsid w:val="007B1CAE"/>
    <w:rsid w:val="007B2384"/>
    <w:rsid w:val="007B2462"/>
    <w:rsid w:val="007B26D2"/>
    <w:rsid w:val="007B2CA2"/>
    <w:rsid w:val="007B3018"/>
    <w:rsid w:val="007B312D"/>
    <w:rsid w:val="007B3713"/>
    <w:rsid w:val="007B39EB"/>
    <w:rsid w:val="007B41E8"/>
    <w:rsid w:val="007B4421"/>
    <w:rsid w:val="007B496D"/>
    <w:rsid w:val="007B4BF2"/>
    <w:rsid w:val="007B4D50"/>
    <w:rsid w:val="007B4F22"/>
    <w:rsid w:val="007B513B"/>
    <w:rsid w:val="007B536B"/>
    <w:rsid w:val="007B5397"/>
    <w:rsid w:val="007B55F5"/>
    <w:rsid w:val="007B5BC8"/>
    <w:rsid w:val="007B5D69"/>
    <w:rsid w:val="007B5ED7"/>
    <w:rsid w:val="007B604B"/>
    <w:rsid w:val="007B6A31"/>
    <w:rsid w:val="007B6B1C"/>
    <w:rsid w:val="007B6F26"/>
    <w:rsid w:val="007B72C9"/>
    <w:rsid w:val="007B7E44"/>
    <w:rsid w:val="007C0107"/>
    <w:rsid w:val="007C0A3E"/>
    <w:rsid w:val="007C105D"/>
    <w:rsid w:val="007C16EA"/>
    <w:rsid w:val="007C1CA4"/>
    <w:rsid w:val="007C286D"/>
    <w:rsid w:val="007C2E76"/>
    <w:rsid w:val="007C385A"/>
    <w:rsid w:val="007C392C"/>
    <w:rsid w:val="007C3F4A"/>
    <w:rsid w:val="007C444B"/>
    <w:rsid w:val="007C485E"/>
    <w:rsid w:val="007C5699"/>
    <w:rsid w:val="007C5982"/>
    <w:rsid w:val="007C59E5"/>
    <w:rsid w:val="007C608F"/>
    <w:rsid w:val="007C6496"/>
    <w:rsid w:val="007C70D6"/>
    <w:rsid w:val="007C7720"/>
    <w:rsid w:val="007C7B5F"/>
    <w:rsid w:val="007C7C4F"/>
    <w:rsid w:val="007C7C77"/>
    <w:rsid w:val="007D0E9C"/>
    <w:rsid w:val="007D1287"/>
    <w:rsid w:val="007D1374"/>
    <w:rsid w:val="007D1563"/>
    <w:rsid w:val="007D1682"/>
    <w:rsid w:val="007D17DE"/>
    <w:rsid w:val="007D2037"/>
    <w:rsid w:val="007D25CE"/>
    <w:rsid w:val="007D2774"/>
    <w:rsid w:val="007D2D3E"/>
    <w:rsid w:val="007D391A"/>
    <w:rsid w:val="007D3AC5"/>
    <w:rsid w:val="007D3B40"/>
    <w:rsid w:val="007D420B"/>
    <w:rsid w:val="007D4213"/>
    <w:rsid w:val="007D4222"/>
    <w:rsid w:val="007D42C6"/>
    <w:rsid w:val="007D42CD"/>
    <w:rsid w:val="007D4538"/>
    <w:rsid w:val="007D58CE"/>
    <w:rsid w:val="007D5B04"/>
    <w:rsid w:val="007D5B63"/>
    <w:rsid w:val="007D64AC"/>
    <w:rsid w:val="007D653B"/>
    <w:rsid w:val="007D6A1F"/>
    <w:rsid w:val="007D7C95"/>
    <w:rsid w:val="007D7CDC"/>
    <w:rsid w:val="007E073F"/>
    <w:rsid w:val="007E0C2F"/>
    <w:rsid w:val="007E0EF7"/>
    <w:rsid w:val="007E1070"/>
    <w:rsid w:val="007E1255"/>
    <w:rsid w:val="007E1263"/>
    <w:rsid w:val="007E126B"/>
    <w:rsid w:val="007E16AE"/>
    <w:rsid w:val="007E2372"/>
    <w:rsid w:val="007E2CB5"/>
    <w:rsid w:val="007E368A"/>
    <w:rsid w:val="007E3DA7"/>
    <w:rsid w:val="007E3E47"/>
    <w:rsid w:val="007E3E83"/>
    <w:rsid w:val="007E3F63"/>
    <w:rsid w:val="007E4463"/>
    <w:rsid w:val="007E45AF"/>
    <w:rsid w:val="007E47AB"/>
    <w:rsid w:val="007E50E7"/>
    <w:rsid w:val="007E616A"/>
    <w:rsid w:val="007E61B8"/>
    <w:rsid w:val="007E6276"/>
    <w:rsid w:val="007E6B17"/>
    <w:rsid w:val="007E6C1F"/>
    <w:rsid w:val="007E75D8"/>
    <w:rsid w:val="007E77C8"/>
    <w:rsid w:val="007F04D6"/>
    <w:rsid w:val="007F08ED"/>
    <w:rsid w:val="007F14A5"/>
    <w:rsid w:val="007F218E"/>
    <w:rsid w:val="007F2235"/>
    <w:rsid w:val="007F29B0"/>
    <w:rsid w:val="007F3331"/>
    <w:rsid w:val="007F3C18"/>
    <w:rsid w:val="007F5145"/>
    <w:rsid w:val="007F5FC2"/>
    <w:rsid w:val="007F64F7"/>
    <w:rsid w:val="007F655B"/>
    <w:rsid w:val="007F65F0"/>
    <w:rsid w:val="007F6AF5"/>
    <w:rsid w:val="007F7371"/>
    <w:rsid w:val="007F74A0"/>
    <w:rsid w:val="007F79C5"/>
    <w:rsid w:val="0080027D"/>
    <w:rsid w:val="0080049B"/>
    <w:rsid w:val="00800667"/>
    <w:rsid w:val="00800753"/>
    <w:rsid w:val="00800AFC"/>
    <w:rsid w:val="00801D17"/>
    <w:rsid w:val="00801D7D"/>
    <w:rsid w:val="008025E3"/>
    <w:rsid w:val="0080312B"/>
    <w:rsid w:val="00803A4C"/>
    <w:rsid w:val="00805139"/>
    <w:rsid w:val="00805F15"/>
    <w:rsid w:val="00806062"/>
    <w:rsid w:val="00806885"/>
    <w:rsid w:val="00806FA5"/>
    <w:rsid w:val="008071AC"/>
    <w:rsid w:val="00807614"/>
    <w:rsid w:val="00807741"/>
    <w:rsid w:val="00807DFC"/>
    <w:rsid w:val="00807ED8"/>
    <w:rsid w:val="00810467"/>
    <w:rsid w:val="00811248"/>
    <w:rsid w:val="00811411"/>
    <w:rsid w:val="00811DB2"/>
    <w:rsid w:val="008123D3"/>
    <w:rsid w:val="00812AD7"/>
    <w:rsid w:val="00813991"/>
    <w:rsid w:val="00813B65"/>
    <w:rsid w:val="00814073"/>
    <w:rsid w:val="00814452"/>
    <w:rsid w:val="0081467B"/>
    <w:rsid w:val="008147DB"/>
    <w:rsid w:val="00815235"/>
    <w:rsid w:val="008154BB"/>
    <w:rsid w:val="00815B64"/>
    <w:rsid w:val="00817205"/>
    <w:rsid w:val="00817312"/>
    <w:rsid w:val="0081737A"/>
    <w:rsid w:val="00817570"/>
    <w:rsid w:val="00817A98"/>
    <w:rsid w:val="00817B30"/>
    <w:rsid w:val="00817C31"/>
    <w:rsid w:val="00817ED9"/>
    <w:rsid w:val="008206B6"/>
    <w:rsid w:val="00820CC6"/>
    <w:rsid w:val="00820DFB"/>
    <w:rsid w:val="00820E31"/>
    <w:rsid w:val="00821826"/>
    <w:rsid w:val="00821B37"/>
    <w:rsid w:val="00822059"/>
    <w:rsid w:val="00822256"/>
    <w:rsid w:val="008229FC"/>
    <w:rsid w:val="008232CD"/>
    <w:rsid w:val="00823D6A"/>
    <w:rsid w:val="00824079"/>
    <w:rsid w:val="008243EA"/>
    <w:rsid w:val="00824425"/>
    <w:rsid w:val="00824F99"/>
    <w:rsid w:val="0082532B"/>
    <w:rsid w:val="008255AF"/>
    <w:rsid w:val="00825DC0"/>
    <w:rsid w:val="00825DE2"/>
    <w:rsid w:val="00826859"/>
    <w:rsid w:val="00826F96"/>
    <w:rsid w:val="00827070"/>
    <w:rsid w:val="008272A6"/>
    <w:rsid w:val="008273CE"/>
    <w:rsid w:val="008275E9"/>
    <w:rsid w:val="00827AD9"/>
    <w:rsid w:val="008303E0"/>
    <w:rsid w:val="008303F1"/>
    <w:rsid w:val="0083046A"/>
    <w:rsid w:val="00830A4E"/>
    <w:rsid w:val="00830A9B"/>
    <w:rsid w:val="00830E84"/>
    <w:rsid w:val="00830FE1"/>
    <w:rsid w:val="00831BAD"/>
    <w:rsid w:val="0083249D"/>
    <w:rsid w:val="00832CFF"/>
    <w:rsid w:val="008336EF"/>
    <w:rsid w:val="008339FF"/>
    <w:rsid w:val="00834DAB"/>
    <w:rsid w:val="0083515B"/>
    <w:rsid w:val="00835199"/>
    <w:rsid w:val="00835263"/>
    <w:rsid w:val="00835909"/>
    <w:rsid w:val="00835C7D"/>
    <w:rsid w:val="00836087"/>
    <w:rsid w:val="00836C85"/>
    <w:rsid w:val="00836CC1"/>
    <w:rsid w:val="00836E9A"/>
    <w:rsid w:val="00837A9E"/>
    <w:rsid w:val="00837C2A"/>
    <w:rsid w:val="00837CC1"/>
    <w:rsid w:val="00840359"/>
    <w:rsid w:val="00840608"/>
    <w:rsid w:val="0084145E"/>
    <w:rsid w:val="00842AC9"/>
    <w:rsid w:val="00842ED8"/>
    <w:rsid w:val="008431D2"/>
    <w:rsid w:val="00843308"/>
    <w:rsid w:val="00843450"/>
    <w:rsid w:val="00843894"/>
    <w:rsid w:val="008439C7"/>
    <w:rsid w:val="00845B39"/>
    <w:rsid w:val="00845C1E"/>
    <w:rsid w:val="00845FCE"/>
    <w:rsid w:val="0084671F"/>
    <w:rsid w:val="00846CDB"/>
    <w:rsid w:val="00846FDF"/>
    <w:rsid w:val="008470CB"/>
    <w:rsid w:val="00847458"/>
    <w:rsid w:val="0084745C"/>
    <w:rsid w:val="0084754E"/>
    <w:rsid w:val="00847661"/>
    <w:rsid w:val="008477B0"/>
    <w:rsid w:val="00847CDD"/>
    <w:rsid w:val="00850375"/>
    <w:rsid w:val="00850434"/>
    <w:rsid w:val="00850790"/>
    <w:rsid w:val="0085128E"/>
    <w:rsid w:val="00851C7D"/>
    <w:rsid w:val="008525BC"/>
    <w:rsid w:val="008529DE"/>
    <w:rsid w:val="00852BDC"/>
    <w:rsid w:val="00852C82"/>
    <w:rsid w:val="00852FEB"/>
    <w:rsid w:val="00853F95"/>
    <w:rsid w:val="00854343"/>
    <w:rsid w:val="00855D60"/>
    <w:rsid w:val="00855FBD"/>
    <w:rsid w:val="0085689B"/>
    <w:rsid w:val="008577CE"/>
    <w:rsid w:val="00857B86"/>
    <w:rsid w:val="00857D11"/>
    <w:rsid w:val="0086007F"/>
    <w:rsid w:val="0086023A"/>
    <w:rsid w:val="0086025C"/>
    <w:rsid w:val="008604B7"/>
    <w:rsid w:val="00861008"/>
    <w:rsid w:val="00861023"/>
    <w:rsid w:val="0086135D"/>
    <w:rsid w:val="008614D5"/>
    <w:rsid w:val="00861F9E"/>
    <w:rsid w:val="0086248D"/>
    <w:rsid w:val="008628A4"/>
    <w:rsid w:val="00863D40"/>
    <w:rsid w:val="00863E6F"/>
    <w:rsid w:val="00863ED9"/>
    <w:rsid w:val="00864111"/>
    <w:rsid w:val="008644A3"/>
    <w:rsid w:val="00864E77"/>
    <w:rsid w:val="00864FDE"/>
    <w:rsid w:val="00865407"/>
    <w:rsid w:val="0086545D"/>
    <w:rsid w:val="00865926"/>
    <w:rsid w:val="00865ADB"/>
    <w:rsid w:val="00865B81"/>
    <w:rsid w:val="00865DEF"/>
    <w:rsid w:val="00865F2A"/>
    <w:rsid w:val="008664FE"/>
    <w:rsid w:val="00866B80"/>
    <w:rsid w:val="00866CB5"/>
    <w:rsid w:val="00866EB2"/>
    <w:rsid w:val="00867A2C"/>
    <w:rsid w:val="00870002"/>
    <w:rsid w:val="008701BC"/>
    <w:rsid w:val="00870F7B"/>
    <w:rsid w:val="008714DB"/>
    <w:rsid w:val="00871FFB"/>
    <w:rsid w:val="00872002"/>
    <w:rsid w:val="008720D0"/>
    <w:rsid w:val="008736DE"/>
    <w:rsid w:val="008740C9"/>
    <w:rsid w:val="008746B4"/>
    <w:rsid w:val="00874708"/>
    <w:rsid w:val="00874C31"/>
    <w:rsid w:val="00875200"/>
    <w:rsid w:val="0087526E"/>
    <w:rsid w:val="008754FF"/>
    <w:rsid w:val="0087697A"/>
    <w:rsid w:val="008773B3"/>
    <w:rsid w:val="008775A2"/>
    <w:rsid w:val="00877C52"/>
    <w:rsid w:val="00880A04"/>
    <w:rsid w:val="00880A8A"/>
    <w:rsid w:val="00880B37"/>
    <w:rsid w:val="00880CCE"/>
    <w:rsid w:val="0088157F"/>
    <w:rsid w:val="008816BD"/>
    <w:rsid w:val="008816BF"/>
    <w:rsid w:val="00881D4E"/>
    <w:rsid w:val="00882B88"/>
    <w:rsid w:val="008832E4"/>
    <w:rsid w:val="008839D0"/>
    <w:rsid w:val="00883CAB"/>
    <w:rsid w:val="00883F3B"/>
    <w:rsid w:val="008842B1"/>
    <w:rsid w:val="00884A90"/>
    <w:rsid w:val="00884D3A"/>
    <w:rsid w:val="008852B5"/>
    <w:rsid w:val="00885DFD"/>
    <w:rsid w:val="00885F28"/>
    <w:rsid w:val="008861A4"/>
    <w:rsid w:val="0088628C"/>
    <w:rsid w:val="00886433"/>
    <w:rsid w:val="0088663B"/>
    <w:rsid w:val="008878C9"/>
    <w:rsid w:val="0089021A"/>
    <w:rsid w:val="008903BE"/>
    <w:rsid w:val="00890C6D"/>
    <w:rsid w:val="0089138F"/>
    <w:rsid w:val="008916F0"/>
    <w:rsid w:val="00891F75"/>
    <w:rsid w:val="00892B1D"/>
    <w:rsid w:val="00892CDB"/>
    <w:rsid w:val="00892CFF"/>
    <w:rsid w:val="00893257"/>
    <w:rsid w:val="008935CC"/>
    <w:rsid w:val="00895578"/>
    <w:rsid w:val="00895DE9"/>
    <w:rsid w:val="00896902"/>
    <w:rsid w:val="008972D7"/>
    <w:rsid w:val="00897606"/>
    <w:rsid w:val="00897703"/>
    <w:rsid w:val="00897766"/>
    <w:rsid w:val="00897AE8"/>
    <w:rsid w:val="00897E82"/>
    <w:rsid w:val="00897FFB"/>
    <w:rsid w:val="008A0377"/>
    <w:rsid w:val="008A1101"/>
    <w:rsid w:val="008A156F"/>
    <w:rsid w:val="008A1A6C"/>
    <w:rsid w:val="008A1DC7"/>
    <w:rsid w:val="008A2317"/>
    <w:rsid w:val="008A2629"/>
    <w:rsid w:val="008A296F"/>
    <w:rsid w:val="008A2ACB"/>
    <w:rsid w:val="008A2D9D"/>
    <w:rsid w:val="008A2FC1"/>
    <w:rsid w:val="008A30C1"/>
    <w:rsid w:val="008A33B8"/>
    <w:rsid w:val="008A3B15"/>
    <w:rsid w:val="008A3DA8"/>
    <w:rsid w:val="008A3F1A"/>
    <w:rsid w:val="008A409E"/>
    <w:rsid w:val="008A40CA"/>
    <w:rsid w:val="008A49E7"/>
    <w:rsid w:val="008A4F3E"/>
    <w:rsid w:val="008A4FF0"/>
    <w:rsid w:val="008A5573"/>
    <w:rsid w:val="008A5C17"/>
    <w:rsid w:val="008A6165"/>
    <w:rsid w:val="008A61ED"/>
    <w:rsid w:val="008A6279"/>
    <w:rsid w:val="008A63F5"/>
    <w:rsid w:val="008A6447"/>
    <w:rsid w:val="008A6687"/>
    <w:rsid w:val="008A6D15"/>
    <w:rsid w:val="008A6E3C"/>
    <w:rsid w:val="008A75BF"/>
    <w:rsid w:val="008A7D36"/>
    <w:rsid w:val="008A7FC1"/>
    <w:rsid w:val="008B0031"/>
    <w:rsid w:val="008B043F"/>
    <w:rsid w:val="008B04AE"/>
    <w:rsid w:val="008B0F31"/>
    <w:rsid w:val="008B1312"/>
    <w:rsid w:val="008B16BC"/>
    <w:rsid w:val="008B173A"/>
    <w:rsid w:val="008B2C37"/>
    <w:rsid w:val="008B2DCE"/>
    <w:rsid w:val="008B34BB"/>
    <w:rsid w:val="008B3736"/>
    <w:rsid w:val="008B3EBD"/>
    <w:rsid w:val="008B408A"/>
    <w:rsid w:val="008B433C"/>
    <w:rsid w:val="008B490A"/>
    <w:rsid w:val="008B4D77"/>
    <w:rsid w:val="008B55F5"/>
    <w:rsid w:val="008B5810"/>
    <w:rsid w:val="008B5E7C"/>
    <w:rsid w:val="008B6092"/>
    <w:rsid w:val="008B6192"/>
    <w:rsid w:val="008B6DDD"/>
    <w:rsid w:val="008B73AD"/>
    <w:rsid w:val="008B752F"/>
    <w:rsid w:val="008C04C2"/>
    <w:rsid w:val="008C0CA0"/>
    <w:rsid w:val="008C10DC"/>
    <w:rsid w:val="008C1492"/>
    <w:rsid w:val="008C1736"/>
    <w:rsid w:val="008C199E"/>
    <w:rsid w:val="008C2531"/>
    <w:rsid w:val="008C2FFE"/>
    <w:rsid w:val="008C32C4"/>
    <w:rsid w:val="008C3410"/>
    <w:rsid w:val="008C34BE"/>
    <w:rsid w:val="008C3A27"/>
    <w:rsid w:val="008C3BC7"/>
    <w:rsid w:val="008C4208"/>
    <w:rsid w:val="008C4C29"/>
    <w:rsid w:val="008C53ED"/>
    <w:rsid w:val="008C56C0"/>
    <w:rsid w:val="008C5E95"/>
    <w:rsid w:val="008C62A5"/>
    <w:rsid w:val="008C638D"/>
    <w:rsid w:val="008C660B"/>
    <w:rsid w:val="008C6A2C"/>
    <w:rsid w:val="008C75FB"/>
    <w:rsid w:val="008C796F"/>
    <w:rsid w:val="008C7D97"/>
    <w:rsid w:val="008D00C8"/>
    <w:rsid w:val="008D0256"/>
    <w:rsid w:val="008D05EB"/>
    <w:rsid w:val="008D0B01"/>
    <w:rsid w:val="008D195C"/>
    <w:rsid w:val="008D2264"/>
    <w:rsid w:val="008D2292"/>
    <w:rsid w:val="008D3015"/>
    <w:rsid w:val="008D317E"/>
    <w:rsid w:val="008D32E7"/>
    <w:rsid w:val="008D33A2"/>
    <w:rsid w:val="008D380B"/>
    <w:rsid w:val="008D3AF9"/>
    <w:rsid w:val="008D3BC0"/>
    <w:rsid w:val="008D408E"/>
    <w:rsid w:val="008D4B69"/>
    <w:rsid w:val="008D5858"/>
    <w:rsid w:val="008D6345"/>
    <w:rsid w:val="008D64C1"/>
    <w:rsid w:val="008D6E04"/>
    <w:rsid w:val="008D709B"/>
    <w:rsid w:val="008D7136"/>
    <w:rsid w:val="008D71EE"/>
    <w:rsid w:val="008E0331"/>
    <w:rsid w:val="008E03CA"/>
    <w:rsid w:val="008E0A77"/>
    <w:rsid w:val="008E1B85"/>
    <w:rsid w:val="008E1E59"/>
    <w:rsid w:val="008E2668"/>
    <w:rsid w:val="008E2EE2"/>
    <w:rsid w:val="008E3755"/>
    <w:rsid w:val="008E39C7"/>
    <w:rsid w:val="008E4DE8"/>
    <w:rsid w:val="008E5CDE"/>
    <w:rsid w:val="008E635E"/>
    <w:rsid w:val="008E685B"/>
    <w:rsid w:val="008E6888"/>
    <w:rsid w:val="008E6D3F"/>
    <w:rsid w:val="008E6D5D"/>
    <w:rsid w:val="008E75D3"/>
    <w:rsid w:val="008E7608"/>
    <w:rsid w:val="008F0B88"/>
    <w:rsid w:val="008F0C6B"/>
    <w:rsid w:val="008F0FC8"/>
    <w:rsid w:val="008F12F9"/>
    <w:rsid w:val="008F1514"/>
    <w:rsid w:val="008F1572"/>
    <w:rsid w:val="008F1DDE"/>
    <w:rsid w:val="008F21E5"/>
    <w:rsid w:val="008F26CA"/>
    <w:rsid w:val="008F287C"/>
    <w:rsid w:val="008F2D11"/>
    <w:rsid w:val="008F2D84"/>
    <w:rsid w:val="008F312F"/>
    <w:rsid w:val="008F4692"/>
    <w:rsid w:val="008F49E5"/>
    <w:rsid w:val="008F4BAD"/>
    <w:rsid w:val="008F52FD"/>
    <w:rsid w:val="008F55EF"/>
    <w:rsid w:val="008F6E62"/>
    <w:rsid w:val="008F752A"/>
    <w:rsid w:val="008F7A7F"/>
    <w:rsid w:val="008F7D80"/>
    <w:rsid w:val="0090074C"/>
    <w:rsid w:val="00900FB6"/>
    <w:rsid w:val="00901058"/>
    <w:rsid w:val="009013D1"/>
    <w:rsid w:val="00901FB7"/>
    <w:rsid w:val="0090244F"/>
    <w:rsid w:val="0090268C"/>
    <w:rsid w:val="00902A44"/>
    <w:rsid w:val="00903284"/>
    <w:rsid w:val="009033E8"/>
    <w:rsid w:val="00903505"/>
    <w:rsid w:val="0090448E"/>
    <w:rsid w:val="009050D1"/>
    <w:rsid w:val="00905114"/>
    <w:rsid w:val="00905173"/>
    <w:rsid w:val="00905DAD"/>
    <w:rsid w:val="00906044"/>
    <w:rsid w:val="00906BC3"/>
    <w:rsid w:val="00907158"/>
    <w:rsid w:val="009075BC"/>
    <w:rsid w:val="00907E3C"/>
    <w:rsid w:val="00907E6E"/>
    <w:rsid w:val="00910224"/>
    <w:rsid w:val="0091041E"/>
    <w:rsid w:val="0091060B"/>
    <w:rsid w:val="009108B4"/>
    <w:rsid w:val="00912204"/>
    <w:rsid w:val="0091256D"/>
    <w:rsid w:val="009131FA"/>
    <w:rsid w:val="009135C6"/>
    <w:rsid w:val="009135CC"/>
    <w:rsid w:val="00914034"/>
    <w:rsid w:val="00914610"/>
    <w:rsid w:val="00914EF8"/>
    <w:rsid w:val="009151D8"/>
    <w:rsid w:val="00915EB2"/>
    <w:rsid w:val="00916116"/>
    <w:rsid w:val="00916471"/>
    <w:rsid w:val="009164EC"/>
    <w:rsid w:val="00916B61"/>
    <w:rsid w:val="00916BA9"/>
    <w:rsid w:val="00916C63"/>
    <w:rsid w:val="00917017"/>
    <w:rsid w:val="00917448"/>
    <w:rsid w:val="00917714"/>
    <w:rsid w:val="00917AAD"/>
    <w:rsid w:val="0092029C"/>
    <w:rsid w:val="00921B17"/>
    <w:rsid w:val="00921D38"/>
    <w:rsid w:val="009229FE"/>
    <w:rsid w:val="00923152"/>
    <w:rsid w:val="00923538"/>
    <w:rsid w:val="0092373D"/>
    <w:rsid w:val="00923997"/>
    <w:rsid w:val="009239C8"/>
    <w:rsid w:val="00923BA1"/>
    <w:rsid w:val="009241EC"/>
    <w:rsid w:val="0092434B"/>
    <w:rsid w:val="00924453"/>
    <w:rsid w:val="009246E4"/>
    <w:rsid w:val="009247FD"/>
    <w:rsid w:val="00924887"/>
    <w:rsid w:val="009250BE"/>
    <w:rsid w:val="00925ACD"/>
    <w:rsid w:val="00925DBF"/>
    <w:rsid w:val="00926CC2"/>
    <w:rsid w:val="0092707B"/>
    <w:rsid w:val="0093054F"/>
    <w:rsid w:val="009311BF"/>
    <w:rsid w:val="0093130C"/>
    <w:rsid w:val="0093144E"/>
    <w:rsid w:val="00931925"/>
    <w:rsid w:val="00931E28"/>
    <w:rsid w:val="00932D23"/>
    <w:rsid w:val="00932E12"/>
    <w:rsid w:val="0093304C"/>
    <w:rsid w:val="00933684"/>
    <w:rsid w:val="00933DEA"/>
    <w:rsid w:val="00934CFA"/>
    <w:rsid w:val="009354AB"/>
    <w:rsid w:val="00935CC5"/>
    <w:rsid w:val="00935FF3"/>
    <w:rsid w:val="009361A0"/>
    <w:rsid w:val="009364DF"/>
    <w:rsid w:val="00936990"/>
    <w:rsid w:val="00936BC4"/>
    <w:rsid w:val="00936C71"/>
    <w:rsid w:val="009373E2"/>
    <w:rsid w:val="00937488"/>
    <w:rsid w:val="009374D6"/>
    <w:rsid w:val="009376D6"/>
    <w:rsid w:val="00940352"/>
    <w:rsid w:val="009403AC"/>
    <w:rsid w:val="00940C26"/>
    <w:rsid w:val="0094121F"/>
    <w:rsid w:val="00941B10"/>
    <w:rsid w:val="00941FD4"/>
    <w:rsid w:val="00942817"/>
    <w:rsid w:val="00942848"/>
    <w:rsid w:val="00942DEA"/>
    <w:rsid w:val="0094354F"/>
    <w:rsid w:val="00943AA8"/>
    <w:rsid w:val="00943EC0"/>
    <w:rsid w:val="00944DCD"/>
    <w:rsid w:val="00944FA6"/>
    <w:rsid w:val="0094750B"/>
    <w:rsid w:val="00947BAC"/>
    <w:rsid w:val="00950401"/>
    <w:rsid w:val="009505CB"/>
    <w:rsid w:val="00950E58"/>
    <w:rsid w:val="00951053"/>
    <w:rsid w:val="0095107A"/>
    <w:rsid w:val="00951186"/>
    <w:rsid w:val="009516CD"/>
    <w:rsid w:val="009525A4"/>
    <w:rsid w:val="0095342A"/>
    <w:rsid w:val="0095353F"/>
    <w:rsid w:val="009538C8"/>
    <w:rsid w:val="00953CDA"/>
    <w:rsid w:val="009542EA"/>
    <w:rsid w:val="009546F4"/>
    <w:rsid w:val="009553C9"/>
    <w:rsid w:val="00956363"/>
    <w:rsid w:val="0095689F"/>
    <w:rsid w:val="00956C06"/>
    <w:rsid w:val="00956D3B"/>
    <w:rsid w:val="00957047"/>
    <w:rsid w:val="009572E5"/>
    <w:rsid w:val="00957917"/>
    <w:rsid w:val="00960323"/>
    <w:rsid w:val="0096053C"/>
    <w:rsid w:val="009606F3"/>
    <w:rsid w:val="00960CB9"/>
    <w:rsid w:val="0096143F"/>
    <w:rsid w:val="0096176A"/>
    <w:rsid w:val="0096220F"/>
    <w:rsid w:val="009622B0"/>
    <w:rsid w:val="009622C0"/>
    <w:rsid w:val="009625A3"/>
    <w:rsid w:val="00962701"/>
    <w:rsid w:val="0096341B"/>
    <w:rsid w:val="00963484"/>
    <w:rsid w:val="009635B8"/>
    <w:rsid w:val="009639CA"/>
    <w:rsid w:val="009647EF"/>
    <w:rsid w:val="0096488D"/>
    <w:rsid w:val="00964958"/>
    <w:rsid w:val="009655E1"/>
    <w:rsid w:val="00965AC2"/>
    <w:rsid w:val="00965D12"/>
    <w:rsid w:val="00965D1C"/>
    <w:rsid w:val="00965E50"/>
    <w:rsid w:val="0096629C"/>
    <w:rsid w:val="009662BC"/>
    <w:rsid w:val="009663AF"/>
    <w:rsid w:val="009663E6"/>
    <w:rsid w:val="00967063"/>
    <w:rsid w:val="0096718E"/>
    <w:rsid w:val="00967199"/>
    <w:rsid w:val="009671BC"/>
    <w:rsid w:val="009676C6"/>
    <w:rsid w:val="00967AC0"/>
    <w:rsid w:val="00967FB0"/>
    <w:rsid w:val="00967FE2"/>
    <w:rsid w:val="00970B72"/>
    <w:rsid w:val="0097122E"/>
    <w:rsid w:val="0097152B"/>
    <w:rsid w:val="00971587"/>
    <w:rsid w:val="0097289D"/>
    <w:rsid w:val="0097295D"/>
    <w:rsid w:val="00972B77"/>
    <w:rsid w:val="00973501"/>
    <w:rsid w:val="009736CC"/>
    <w:rsid w:val="0097377D"/>
    <w:rsid w:val="00973C53"/>
    <w:rsid w:val="0097405F"/>
    <w:rsid w:val="00974196"/>
    <w:rsid w:val="00974372"/>
    <w:rsid w:val="00975628"/>
    <w:rsid w:val="00975B76"/>
    <w:rsid w:val="00975CF5"/>
    <w:rsid w:val="00975D7A"/>
    <w:rsid w:val="009762D9"/>
    <w:rsid w:val="00976902"/>
    <w:rsid w:val="00976DC4"/>
    <w:rsid w:val="009770C4"/>
    <w:rsid w:val="009772EB"/>
    <w:rsid w:val="00977477"/>
    <w:rsid w:val="00977592"/>
    <w:rsid w:val="00977728"/>
    <w:rsid w:val="009778C8"/>
    <w:rsid w:val="00977C13"/>
    <w:rsid w:val="00977D7B"/>
    <w:rsid w:val="00977F48"/>
    <w:rsid w:val="009808CC"/>
    <w:rsid w:val="00980AE7"/>
    <w:rsid w:val="00980B7B"/>
    <w:rsid w:val="00980CBE"/>
    <w:rsid w:val="00980D9E"/>
    <w:rsid w:val="00980E95"/>
    <w:rsid w:val="009818C7"/>
    <w:rsid w:val="0098192C"/>
    <w:rsid w:val="009827E8"/>
    <w:rsid w:val="0098321C"/>
    <w:rsid w:val="00983449"/>
    <w:rsid w:val="009839E9"/>
    <w:rsid w:val="00984EBA"/>
    <w:rsid w:val="009855BB"/>
    <w:rsid w:val="00986101"/>
    <w:rsid w:val="0098639C"/>
    <w:rsid w:val="00986CBA"/>
    <w:rsid w:val="00986DB4"/>
    <w:rsid w:val="00987698"/>
    <w:rsid w:val="009879DE"/>
    <w:rsid w:val="00987F29"/>
    <w:rsid w:val="00987FE5"/>
    <w:rsid w:val="00990469"/>
    <w:rsid w:val="00990B6E"/>
    <w:rsid w:val="0099103B"/>
    <w:rsid w:val="00991A72"/>
    <w:rsid w:val="00991BF7"/>
    <w:rsid w:val="00991C02"/>
    <w:rsid w:val="00991E6B"/>
    <w:rsid w:val="0099224A"/>
    <w:rsid w:val="00992252"/>
    <w:rsid w:val="00992C4B"/>
    <w:rsid w:val="00992D1F"/>
    <w:rsid w:val="0099326E"/>
    <w:rsid w:val="0099365B"/>
    <w:rsid w:val="009937A5"/>
    <w:rsid w:val="00993962"/>
    <w:rsid w:val="00993D48"/>
    <w:rsid w:val="00994746"/>
    <w:rsid w:val="00994AFB"/>
    <w:rsid w:val="009952C7"/>
    <w:rsid w:val="009954D1"/>
    <w:rsid w:val="00995AF6"/>
    <w:rsid w:val="00995FD8"/>
    <w:rsid w:val="00996470"/>
    <w:rsid w:val="009966DE"/>
    <w:rsid w:val="00996C56"/>
    <w:rsid w:val="00996D31"/>
    <w:rsid w:val="00996DC3"/>
    <w:rsid w:val="009A0367"/>
    <w:rsid w:val="009A06D1"/>
    <w:rsid w:val="009A0EEF"/>
    <w:rsid w:val="009A1092"/>
    <w:rsid w:val="009A1C60"/>
    <w:rsid w:val="009A2679"/>
    <w:rsid w:val="009A2691"/>
    <w:rsid w:val="009A291F"/>
    <w:rsid w:val="009A3090"/>
    <w:rsid w:val="009A3285"/>
    <w:rsid w:val="009A33F5"/>
    <w:rsid w:val="009A4334"/>
    <w:rsid w:val="009A4BED"/>
    <w:rsid w:val="009A51D4"/>
    <w:rsid w:val="009A5811"/>
    <w:rsid w:val="009A66E6"/>
    <w:rsid w:val="009A6775"/>
    <w:rsid w:val="009A6C43"/>
    <w:rsid w:val="009A6C8A"/>
    <w:rsid w:val="009A6D27"/>
    <w:rsid w:val="009A75AA"/>
    <w:rsid w:val="009A775F"/>
    <w:rsid w:val="009A7E2F"/>
    <w:rsid w:val="009B05A8"/>
    <w:rsid w:val="009B0A01"/>
    <w:rsid w:val="009B0ECE"/>
    <w:rsid w:val="009B0FDC"/>
    <w:rsid w:val="009B145F"/>
    <w:rsid w:val="009B1BD7"/>
    <w:rsid w:val="009B1BFF"/>
    <w:rsid w:val="009B1CF4"/>
    <w:rsid w:val="009B2185"/>
    <w:rsid w:val="009B26CB"/>
    <w:rsid w:val="009B2CF9"/>
    <w:rsid w:val="009B2E0B"/>
    <w:rsid w:val="009B3ADB"/>
    <w:rsid w:val="009B41E0"/>
    <w:rsid w:val="009B4F34"/>
    <w:rsid w:val="009B512C"/>
    <w:rsid w:val="009B555A"/>
    <w:rsid w:val="009B5AD1"/>
    <w:rsid w:val="009B5F8C"/>
    <w:rsid w:val="009B675E"/>
    <w:rsid w:val="009B735F"/>
    <w:rsid w:val="009B7A50"/>
    <w:rsid w:val="009C0EBD"/>
    <w:rsid w:val="009C18A2"/>
    <w:rsid w:val="009C1B02"/>
    <w:rsid w:val="009C2205"/>
    <w:rsid w:val="009C228F"/>
    <w:rsid w:val="009C26C4"/>
    <w:rsid w:val="009C2C04"/>
    <w:rsid w:val="009C2FDA"/>
    <w:rsid w:val="009C3731"/>
    <w:rsid w:val="009C4026"/>
    <w:rsid w:val="009C4651"/>
    <w:rsid w:val="009C4ABB"/>
    <w:rsid w:val="009C4C9B"/>
    <w:rsid w:val="009C4DFF"/>
    <w:rsid w:val="009C4E0C"/>
    <w:rsid w:val="009C5298"/>
    <w:rsid w:val="009C575C"/>
    <w:rsid w:val="009C589F"/>
    <w:rsid w:val="009C59C1"/>
    <w:rsid w:val="009C5A00"/>
    <w:rsid w:val="009C5F10"/>
    <w:rsid w:val="009C6007"/>
    <w:rsid w:val="009C6343"/>
    <w:rsid w:val="009C6913"/>
    <w:rsid w:val="009C6996"/>
    <w:rsid w:val="009C6AAC"/>
    <w:rsid w:val="009C6B09"/>
    <w:rsid w:val="009C6F2D"/>
    <w:rsid w:val="009C70A5"/>
    <w:rsid w:val="009C7388"/>
    <w:rsid w:val="009C7534"/>
    <w:rsid w:val="009C78A9"/>
    <w:rsid w:val="009C7AFF"/>
    <w:rsid w:val="009D03B7"/>
    <w:rsid w:val="009D0DFD"/>
    <w:rsid w:val="009D10F5"/>
    <w:rsid w:val="009D1208"/>
    <w:rsid w:val="009D1339"/>
    <w:rsid w:val="009D1DB2"/>
    <w:rsid w:val="009D25EE"/>
    <w:rsid w:val="009D2D39"/>
    <w:rsid w:val="009D32B5"/>
    <w:rsid w:val="009D34AC"/>
    <w:rsid w:val="009D39D9"/>
    <w:rsid w:val="009D434F"/>
    <w:rsid w:val="009D47C7"/>
    <w:rsid w:val="009D4AE0"/>
    <w:rsid w:val="009D526D"/>
    <w:rsid w:val="009D6334"/>
    <w:rsid w:val="009D64D5"/>
    <w:rsid w:val="009D6EA8"/>
    <w:rsid w:val="009D74D3"/>
    <w:rsid w:val="009D77C0"/>
    <w:rsid w:val="009D79EE"/>
    <w:rsid w:val="009D7FE6"/>
    <w:rsid w:val="009E02A0"/>
    <w:rsid w:val="009E0C22"/>
    <w:rsid w:val="009E1488"/>
    <w:rsid w:val="009E18A3"/>
    <w:rsid w:val="009E2063"/>
    <w:rsid w:val="009E24B0"/>
    <w:rsid w:val="009E2687"/>
    <w:rsid w:val="009E2B7A"/>
    <w:rsid w:val="009E3478"/>
    <w:rsid w:val="009E387F"/>
    <w:rsid w:val="009E38A1"/>
    <w:rsid w:val="009E3BFD"/>
    <w:rsid w:val="009E4394"/>
    <w:rsid w:val="009E4D9E"/>
    <w:rsid w:val="009E4EB3"/>
    <w:rsid w:val="009E5B1D"/>
    <w:rsid w:val="009E60BC"/>
    <w:rsid w:val="009E661B"/>
    <w:rsid w:val="009E6631"/>
    <w:rsid w:val="009E6A29"/>
    <w:rsid w:val="009E6A3B"/>
    <w:rsid w:val="009E6A68"/>
    <w:rsid w:val="009E6A7C"/>
    <w:rsid w:val="009E7043"/>
    <w:rsid w:val="009E7D8F"/>
    <w:rsid w:val="009F0519"/>
    <w:rsid w:val="009F0D6A"/>
    <w:rsid w:val="009F2C5E"/>
    <w:rsid w:val="009F2D44"/>
    <w:rsid w:val="009F3225"/>
    <w:rsid w:val="009F3430"/>
    <w:rsid w:val="009F3B76"/>
    <w:rsid w:val="009F3FD2"/>
    <w:rsid w:val="009F405A"/>
    <w:rsid w:val="009F49CB"/>
    <w:rsid w:val="009F4F51"/>
    <w:rsid w:val="009F5231"/>
    <w:rsid w:val="009F5FB0"/>
    <w:rsid w:val="009F64B7"/>
    <w:rsid w:val="009F6521"/>
    <w:rsid w:val="009F665F"/>
    <w:rsid w:val="009F6970"/>
    <w:rsid w:val="009F69D1"/>
    <w:rsid w:val="009F6E40"/>
    <w:rsid w:val="009F707E"/>
    <w:rsid w:val="009F7122"/>
    <w:rsid w:val="00A00C7F"/>
    <w:rsid w:val="00A00CA9"/>
    <w:rsid w:val="00A00FE1"/>
    <w:rsid w:val="00A0106A"/>
    <w:rsid w:val="00A01371"/>
    <w:rsid w:val="00A017F0"/>
    <w:rsid w:val="00A0241D"/>
    <w:rsid w:val="00A02571"/>
    <w:rsid w:val="00A02FB2"/>
    <w:rsid w:val="00A030F5"/>
    <w:rsid w:val="00A031AE"/>
    <w:rsid w:val="00A031F6"/>
    <w:rsid w:val="00A035C7"/>
    <w:rsid w:val="00A03641"/>
    <w:rsid w:val="00A04363"/>
    <w:rsid w:val="00A04B10"/>
    <w:rsid w:val="00A04B45"/>
    <w:rsid w:val="00A04BCF"/>
    <w:rsid w:val="00A04C66"/>
    <w:rsid w:val="00A07481"/>
    <w:rsid w:val="00A0778D"/>
    <w:rsid w:val="00A077B5"/>
    <w:rsid w:val="00A07C6A"/>
    <w:rsid w:val="00A10479"/>
    <w:rsid w:val="00A10550"/>
    <w:rsid w:val="00A105BC"/>
    <w:rsid w:val="00A10AF3"/>
    <w:rsid w:val="00A10FBA"/>
    <w:rsid w:val="00A118C0"/>
    <w:rsid w:val="00A11AC5"/>
    <w:rsid w:val="00A1253A"/>
    <w:rsid w:val="00A128FB"/>
    <w:rsid w:val="00A12D10"/>
    <w:rsid w:val="00A13065"/>
    <w:rsid w:val="00A13882"/>
    <w:rsid w:val="00A141AB"/>
    <w:rsid w:val="00A1449B"/>
    <w:rsid w:val="00A146DE"/>
    <w:rsid w:val="00A155B0"/>
    <w:rsid w:val="00A15613"/>
    <w:rsid w:val="00A1570E"/>
    <w:rsid w:val="00A16417"/>
    <w:rsid w:val="00A16B20"/>
    <w:rsid w:val="00A16BF5"/>
    <w:rsid w:val="00A1717C"/>
    <w:rsid w:val="00A17185"/>
    <w:rsid w:val="00A17363"/>
    <w:rsid w:val="00A1765E"/>
    <w:rsid w:val="00A17993"/>
    <w:rsid w:val="00A17CA2"/>
    <w:rsid w:val="00A2043B"/>
    <w:rsid w:val="00A205FA"/>
    <w:rsid w:val="00A20C35"/>
    <w:rsid w:val="00A20DA2"/>
    <w:rsid w:val="00A21003"/>
    <w:rsid w:val="00A2199A"/>
    <w:rsid w:val="00A22446"/>
    <w:rsid w:val="00A227B4"/>
    <w:rsid w:val="00A229F2"/>
    <w:rsid w:val="00A2369A"/>
    <w:rsid w:val="00A23CAA"/>
    <w:rsid w:val="00A23F85"/>
    <w:rsid w:val="00A2410E"/>
    <w:rsid w:val="00A24872"/>
    <w:rsid w:val="00A24958"/>
    <w:rsid w:val="00A24D3A"/>
    <w:rsid w:val="00A25356"/>
    <w:rsid w:val="00A259BD"/>
    <w:rsid w:val="00A25B05"/>
    <w:rsid w:val="00A25C05"/>
    <w:rsid w:val="00A26324"/>
    <w:rsid w:val="00A26FBA"/>
    <w:rsid w:val="00A26FBB"/>
    <w:rsid w:val="00A272E3"/>
    <w:rsid w:val="00A2750B"/>
    <w:rsid w:val="00A27678"/>
    <w:rsid w:val="00A27806"/>
    <w:rsid w:val="00A30007"/>
    <w:rsid w:val="00A301AA"/>
    <w:rsid w:val="00A30618"/>
    <w:rsid w:val="00A30716"/>
    <w:rsid w:val="00A30A5C"/>
    <w:rsid w:val="00A30BBB"/>
    <w:rsid w:val="00A30C3D"/>
    <w:rsid w:val="00A319B1"/>
    <w:rsid w:val="00A31A0C"/>
    <w:rsid w:val="00A31A3A"/>
    <w:rsid w:val="00A31F51"/>
    <w:rsid w:val="00A32165"/>
    <w:rsid w:val="00A321D9"/>
    <w:rsid w:val="00A328A5"/>
    <w:rsid w:val="00A33061"/>
    <w:rsid w:val="00A33530"/>
    <w:rsid w:val="00A33B02"/>
    <w:rsid w:val="00A33BA3"/>
    <w:rsid w:val="00A33E43"/>
    <w:rsid w:val="00A34184"/>
    <w:rsid w:val="00A341B6"/>
    <w:rsid w:val="00A34AC3"/>
    <w:rsid w:val="00A34F04"/>
    <w:rsid w:val="00A3533A"/>
    <w:rsid w:val="00A353CA"/>
    <w:rsid w:val="00A355B7"/>
    <w:rsid w:val="00A35DC4"/>
    <w:rsid w:val="00A35F7D"/>
    <w:rsid w:val="00A36074"/>
    <w:rsid w:val="00A36432"/>
    <w:rsid w:val="00A36A0D"/>
    <w:rsid w:val="00A36A79"/>
    <w:rsid w:val="00A36E82"/>
    <w:rsid w:val="00A37679"/>
    <w:rsid w:val="00A37F57"/>
    <w:rsid w:val="00A40326"/>
    <w:rsid w:val="00A4056F"/>
    <w:rsid w:val="00A408B9"/>
    <w:rsid w:val="00A40BB0"/>
    <w:rsid w:val="00A40FF8"/>
    <w:rsid w:val="00A411DE"/>
    <w:rsid w:val="00A413C7"/>
    <w:rsid w:val="00A4179B"/>
    <w:rsid w:val="00A41A93"/>
    <w:rsid w:val="00A41D03"/>
    <w:rsid w:val="00A42108"/>
    <w:rsid w:val="00A42900"/>
    <w:rsid w:val="00A429C6"/>
    <w:rsid w:val="00A433FC"/>
    <w:rsid w:val="00A44181"/>
    <w:rsid w:val="00A446CF"/>
    <w:rsid w:val="00A44F16"/>
    <w:rsid w:val="00A45632"/>
    <w:rsid w:val="00A45AB8"/>
    <w:rsid w:val="00A45C67"/>
    <w:rsid w:val="00A46535"/>
    <w:rsid w:val="00A47402"/>
    <w:rsid w:val="00A47B55"/>
    <w:rsid w:val="00A50397"/>
    <w:rsid w:val="00A504BE"/>
    <w:rsid w:val="00A51582"/>
    <w:rsid w:val="00A51E16"/>
    <w:rsid w:val="00A52684"/>
    <w:rsid w:val="00A534F1"/>
    <w:rsid w:val="00A53988"/>
    <w:rsid w:val="00A53A98"/>
    <w:rsid w:val="00A53B6F"/>
    <w:rsid w:val="00A543E4"/>
    <w:rsid w:val="00A544B5"/>
    <w:rsid w:val="00A55370"/>
    <w:rsid w:val="00A55BEE"/>
    <w:rsid w:val="00A55D9B"/>
    <w:rsid w:val="00A55DE6"/>
    <w:rsid w:val="00A55EDF"/>
    <w:rsid w:val="00A5622F"/>
    <w:rsid w:val="00A562CC"/>
    <w:rsid w:val="00A563DE"/>
    <w:rsid w:val="00A565B0"/>
    <w:rsid w:val="00A57157"/>
    <w:rsid w:val="00A5752A"/>
    <w:rsid w:val="00A57B8A"/>
    <w:rsid w:val="00A6070C"/>
    <w:rsid w:val="00A60AA6"/>
    <w:rsid w:val="00A60ABA"/>
    <w:rsid w:val="00A60B8E"/>
    <w:rsid w:val="00A60C58"/>
    <w:rsid w:val="00A6122E"/>
    <w:rsid w:val="00A61754"/>
    <w:rsid w:val="00A62044"/>
    <w:rsid w:val="00A62F73"/>
    <w:rsid w:val="00A6337A"/>
    <w:rsid w:val="00A639F0"/>
    <w:rsid w:val="00A63A04"/>
    <w:rsid w:val="00A63C26"/>
    <w:rsid w:val="00A63EDE"/>
    <w:rsid w:val="00A63FCD"/>
    <w:rsid w:val="00A64460"/>
    <w:rsid w:val="00A6534F"/>
    <w:rsid w:val="00A65537"/>
    <w:rsid w:val="00A65C01"/>
    <w:rsid w:val="00A65D2E"/>
    <w:rsid w:val="00A662F8"/>
    <w:rsid w:val="00A6670F"/>
    <w:rsid w:val="00A66855"/>
    <w:rsid w:val="00A672A6"/>
    <w:rsid w:val="00A701B3"/>
    <w:rsid w:val="00A70AF3"/>
    <w:rsid w:val="00A7105D"/>
    <w:rsid w:val="00A71167"/>
    <w:rsid w:val="00A71261"/>
    <w:rsid w:val="00A719ED"/>
    <w:rsid w:val="00A728D2"/>
    <w:rsid w:val="00A72945"/>
    <w:rsid w:val="00A72FD4"/>
    <w:rsid w:val="00A73713"/>
    <w:rsid w:val="00A7393C"/>
    <w:rsid w:val="00A73A0B"/>
    <w:rsid w:val="00A73B70"/>
    <w:rsid w:val="00A73FBC"/>
    <w:rsid w:val="00A743AE"/>
    <w:rsid w:val="00A743FB"/>
    <w:rsid w:val="00A74A56"/>
    <w:rsid w:val="00A74EB2"/>
    <w:rsid w:val="00A75369"/>
    <w:rsid w:val="00A76062"/>
    <w:rsid w:val="00A76595"/>
    <w:rsid w:val="00A7777B"/>
    <w:rsid w:val="00A777DE"/>
    <w:rsid w:val="00A802A2"/>
    <w:rsid w:val="00A806E1"/>
    <w:rsid w:val="00A80831"/>
    <w:rsid w:val="00A80D59"/>
    <w:rsid w:val="00A8160C"/>
    <w:rsid w:val="00A82E0E"/>
    <w:rsid w:val="00A8351E"/>
    <w:rsid w:val="00A839EE"/>
    <w:rsid w:val="00A83CD1"/>
    <w:rsid w:val="00A83FF1"/>
    <w:rsid w:val="00A840FE"/>
    <w:rsid w:val="00A847BE"/>
    <w:rsid w:val="00A84C72"/>
    <w:rsid w:val="00A851FE"/>
    <w:rsid w:val="00A85516"/>
    <w:rsid w:val="00A85A18"/>
    <w:rsid w:val="00A85D3F"/>
    <w:rsid w:val="00A862E9"/>
    <w:rsid w:val="00A86559"/>
    <w:rsid w:val="00A865EE"/>
    <w:rsid w:val="00A86847"/>
    <w:rsid w:val="00A86E8F"/>
    <w:rsid w:val="00A8751C"/>
    <w:rsid w:val="00A875E3"/>
    <w:rsid w:val="00A9043B"/>
    <w:rsid w:val="00A9065D"/>
    <w:rsid w:val="00A9071F"/>
    <w:rsid w:val="00A90F51"/>
    <w:rsid w:val="00A91221"/>
    <w:rsid w:val="00A92369"/>
    <w:rsid w:val="00A923AD"/>
    <w:rsid w:val="00A92759"/>
    <w:rsid w:val="00A928A2"/>
    <w:rsid w:val="00A934F2"/>
    <w:rsid w:val="00A94068"/>
    <w:rsid w:val="00A94B43"/>
    <w:rsid w:val="00A954A9"/>
    <w:rsid w:val="00A95681"/>
    <w:rsid w:val="00A95E80"/>
    <w:rsid w:val="00A96311"/>
    <w:rsid w:val="00A965DF"/>
    <w:rsid w:val="00A972D6"/>
    <w:rsid w:val="00A97573"/>
    <w:rsid w:val="00A97FE9"/>
    <w:rsid w:val="00AA06A0"/>
    <w:rsid w:val="00AA077F"/>
    <w:rsid w:val="00AA0A8F"/>
    <w:rsid w:val="00AA1055"/>
    <w:rsid w:val="00AA24CF"/>
    <w:rsid w:val="00AA2C7A"/>
    <w:rsid w:val="00AA3587"/>
    <w:rsid w:val="00AA3905"/>
    <w:rsid w:val="00AA4893"/>
    <w:rsid w:val="00AA5978"/>
    <w:rsid w:val="00AA5B45"/>
    <w:rsid w:val="00AA5E2D"/>
    <w:rsid w:val="00AA61C2"/>
    <w:rsid w:val="00AA659B"/>
    <w:rsid w:val="00AA700E"/>
    <w:rsid w:val="00AA71B1"/>
    <w:rsid w:val="00AA7317"/>
    <w:rsid w:val="00AA738B"/>
    <w:rsid w:val="00AA77A2"/>
    <w:rsid w:val="00AA7840"/>
    <w:rsid w:val="00AA7C02"/>
    <w:rsid w:val="00AB0ACE"/>
    <w:rsid w:val="00AB0DA4"/>
    <w:rsid w:val="00AB0ED4"/>
    <w:rsid w:val="00AB1877"/>
    <w:rsid w:val="00AB3908"/>
    <w:rsid w:val="00AB463F"/>
    <w:rsid w:val="00AB5124"/>
    <w:rsid w:val="00AB560D"/>
    <w:rsid w:val="00AB56F2"/>
    <w:rsid w:val="00AB5F93"/>
    <w:rsid w:val="00AB6541"/>
    <w:rsid w:val="00AB6EB1"/>
    <w:rsid w:val="00AB72D5"/>
    <w:rsid w:val="00AB7551"/>
    <w:rsid w:val="00AB7BE6"/>
    <w:rsid w:val="00AC038C"/>
    <w:rsid w:val="00AC03A3"/>
    <w:rsid w:val="00AC0B9A"/>
    <w:rsid w:val="00AC11B0"/>
    <w:rsid w:val="00AC1D94"/>
    <w:rsid w:val="00AC2E2D"/>
    <w:rsid w:val="00AC2EB6"/>
    <w:rsid w:val="00AC3D5E"/>
    <w:rsid w:val="00AC3FDB"/>
    <w:rsid w:val="00AC5037"/>
    <w:rsid w:val="00AC5620"/>
    <w:rsid w:val="00AC5B20"/>
    <w:rsid w:val="00AC5DD4"/>
    <w:rsid w:val="00AC6077"/>
    <w:rsid w:val="00AC616B"/>
    <w:rsid w:val="00AC6880"/>
    <w:rsid w:val="00AC7982"/>
    <w:rsid w:val="00AD00E1"/>
    <w:rsid w:val="00AD022B"/>
    <w:rsid w:val="00AD088D"/>
    <w:rsid w:val="00AD11A9"/>
    <w:rsid w:val="00AD149D"/>
    <w:rsid w:val="00AD168A"/>
    <w:rsid w:val="00AD183B"/>
    <w:rsid w:val="00AD18F7"/>
    <w:rsid w:val="00AD2BF4"/>
    <w:rsid w:val="00AD2D65"/>
    <w:rsid w:val="00AD32D8"/>
    <w:rsid w:val="00AD340C"/>
    <w:rsid w:val="00AD38D3"/>
    <w:rsid w:val="00AD3CB7"/>
    <w:rsid w:val="00AD4308"/>
    <w:rsid w:val="00AD4408"/>
    <w:rsid w:val="00AD49C7"/>
    <w:rsid w:val="00AD49F1"/>
    <w:rsid w:val="00AD4FA5"/>
    <w:rsid w:val="00AD5306"/>
    <w:rsid w:val="00AD5487"/>
    <w:rsid w:val="00AD5D8C"/>
    <w:rsid w:val="00AD5DD4"/>
    <w:rsid w:val="00AD67D4"/>
    <w:rsid w:val="00AD6A9A"/>
    <w:rsid w:val="00AD6AF7"/>
    <w:rsid w:val="00AD6EF5"/>
    <w:rsid w:val="00AD7215"/>
    <w:rsid w:val="00AD7605"/>
    <w:rsid w:val="00AE03D5"/>
    <w:rsid w:val="00AE07AD"/>
    <w:rsid w:val="00AE0C1F"/>
    <w:rsid w:val="00AE0D29"/>
    <w:rsid w:val="00AE1229"/>
    <w:rsid w:val="00AE12EC"/>
    <w:rsid w:val="00AE13CC"/>
    <w:rsid w:val="00AE1491"/>
    <w:rsid w:val="00AE14D2"/>
    <w:rsid w:val="00AE1B11"/>
    <w:rsid w:val="00AE24D1"/>
    <w:rsid w:val="00AE34BD"/>
    <w:rsid w:val="00AE3CC1"/>
    <w:rsid w:val="00AE4497"/>
    <w:rsid w:val="00AE4644"/>
    <w:rsid w:val="00AE507F"/>
    <w:rsid w:val="00AE509F"/>
    <w:rsid w:val="00AE52CE"/>
    <w:rsid w:val="00AE6376"/>
    <w:rsid w:val="00AE6665"/>
    <w:rsid w:val="00AE67D4"/>
    <w:rsid w:val="00AE6808"/>
    <w:rsid w:val="00AE684C"/>
    <w:rsid w:val="00AE695E"/>
    <w:rsid w:val="00AE6F5D"/>
    <w:rsid w:val="00AE7402"/>
    <w:rsid w:val="00AE7613"/>
    <w:rsid w:val="00AE764F"/>
    <w:rsid w:val="00AE7FE2"/>
    <w:rsid w:val="00AF11D4"/>
    <w:rsid w:val="00AF17AC"/>
    <w:rsid w:val="00AF1FF7"/>
    <w:rsid w:val="00AF2010"/>
    <w:rsid w:val="00AF204A"/>
    <w:rsid w:val="00AF28AE"/>
    <w:rsid w:val="00AF29F6"/>
    <w:rsid w:val="00AF3489"/>
    <w:rsid w:val="00AF34A3"/>
    <w:rsid w:val="00AF34C9"/>
    <w:rsid w:val="00AF3AD2"/>
    <w:rsid w:val="00AF4229"/>
    <w:rsid w:val="00AF4251"/>
    <w:rsid w:val="00AF48A6"/>
    <w:rsid w:val="00AF54CB"/>
    <w:rsid w:val="00AF59BA"/>
    <w:rsid w:val="00AF5B69"/>
    <w:rsid w:val="00AF61F8"/>
    <w:rsid w:val="00AF6514"/>
    <w:rsid w:val="00AF6788"/>
    <w:rsid w:val="00AF6AB5"/>
    <w:rsid w:val="00AF74C8"/>
    <w:rsid w:val="00AF782F"/>
    <w:rsid w:val="00AF7A64"/>
    <w:rsid w:val="00B00351"/>
    <w:rsid w:val="00B00D4A"/>
    <w:rsid w:val="00B00E38"/>
    <w:rsid w:val="00B010CD"/>
    <w:rsid w:val="00B018FA"/>
    <w:rsid w:val="00B01CB7"/>
    <w:rsid w:val="00B02125"/>
    <w:rsid w:val="00B02D70"/>
    <w:rsid w:val="00B04574"/>
    <w:rsid w:val="00B046DA"/>
    <w:rsid w:val="00B04814"/>
    <w:rsid w:val="00B049C0"/>
    <w:rsid w:val="00B0582B"/>
    <w:rsid w:val="00B05AC0"/>
    <w:rsid w:val="00B05F3E"/>
    <w:rsid w:val="00B06DD2"/>
    <w:rsid w:val="00B06FEA"/>
    <w:rsid w:val="00B07052"/>
    <w:rsid w:val="00B1034E"/>
    <w:rsid w:val="00B10579"/>
    <w:rsid w:val="00B1077B"/>
    <w:rsid w:val="00B10A41"/>
    <w:rsid w:val="00B10AD5"/>
    <w:rsid w:val="00B10BA7"/>
    <w:rsid w:val="00B11292"/>
    <w:rsid w:val="00B118F0"/>
    <w:rsid w:val="00B11A4E"/>
    <w:rsid w:val="00B12263"/>
    <w:rsid w:val="00B12932"/>
    <w:rsid w:val="00B13994"/>
    <w:rsid w:val="00B13F16"/>
    <w:rsid w:val="00B148F7"/>
    <w:rsid w:val="00B15110"/>
    <w:rsid w:val="00B15C8C"/>
    <w:rsid w:val="00B15D39"/>
    <w:rsid w:val="00B15E69"/>
    <w:rsid w:val="00B16393"/>
    <w:rsid w:val="00B17436"/>
    <w:rsid w:val="00B178EE"/>
    <w:rsid w:val="00B1791E"/>
    <w:rsid w:val="00B17ACB"/>
    <w:rsid w:val="00B17DF2"/>
    <w:rsid w:val="00B17F69"/>
    <w:rsid w:val="00B20815"/>
    <w:rsid w:val="00B21A2D"/>
    <w:rsid w:val="00B21BAC"/>
    <w:rsid w:val="00B233D1"/>
    <w:rsid w:val="00B2375E"/>
    <w:rsid w:val="00B23B3C"/>
    <w:rsid w:val="00B24A85"/>
    <w:rsid w:val="00B24BAB"/>
    <w:rsid w:val="00B24C8A"/>
    <w:rsid w:val="00B25B1B"/>
    <w:rsid w:val="00B25E66"/>
    <w:rsid w:val="00B2701C"/>
    <w:rsid w:val="00B270DC"/>
    <w:rsid w:val="00B2725E"/>
    <w:rsid w:val="00B27300"/>
    <w:rsid w:val="00B27529"/>
    <w:rsid w:val="00B2755B"/>
    <w:rsid w:val="00B302BF"/>
    <w:rsid w:val="00B308EA"/>
    <w:rsid w:val="00B3097B"/>
    <w:rsid w:val="00B30B9C"/>
    <w:rsid w:val="00B30D0F"/>
    <w:rsid w:val="00B31876"/>
    <w:rsid w:val="00B31E2D"/>
    <w:rsid w:val="00B32FBB"/>
    <w:rsid w:val="00B33671"/>
    <w:rsid w:val="00B339DC"/>
    <w:rsid w:val="00B34458"/>
    <w:rsid w:val="00B34471"/>
    <w:rsid w:val="00B34553"/>
    <w:rsid w:val="00B35D28"/>
    <w:rsid w:val="00B35D95"/>
    <w:rsid w:val="00B360D5"/>
    <w:rsid w:val="00B372CD"/>
    <w:rsid w:val="00B3765B"/>
    <w:rsid w:val="00B37BF3"/>
    <w:rsid w:val="00B40142"/>
    <w:rsid w:val="00B40176"/>
    <w:rsid w:val="00B40611"/>
    <w:rsid w:val="00B40BB8"/>
    <w:rsid w:val="00B4131C"/>
    <w:rsid w:val="00B413BF"/>
    <w:rsid w:val="00B41B3D"/>
    <w:rsid w:val="00B41C49"/>
    <w:rsid w:val="00B42D04"/>
    <w:rsid w:val="00B43084"/>
    <w:rsid w:val="00B43206"/>
    <w:rsid w:val="00B434AD"/>
    <w:rsid w:val="00B43890"/>
    <w:rsid w:val="00B43CF3"/>
    <w:rsid w:val="00B44E4F"/>
    <w:rsid w:val="00B44F28"/>
    <w:rsid w:val="00B458EA"/>
    <w:rsid w:val="00B45CDA"/>
    <w:rsid w:val="00B45E4B"/>
    <w:rsid w:val="00B45FAF"/>
    <w:rsid w:val="00B463FE"/>
    <w:rsid w:val="00B4646E"/>
    <w:rsid w:val="00B46C8B"/>
    <w:rsid w:val="00B47DCD"/>
    <w:rsid w:val="00B47EF0"/>
    <w:rsid w:val="00B500D7"/>
    <w:rsid w:val="00B50957"/>
    <w:rsid w:val="00B5099C"/>
    <w:rsid w:val="00B517AC"/>
    <w:rsid w:val="00B51B4E"/>
    <w:rsid w:val="00B52159"/>
    <w:rsid w:val="00B522EB"/>
    <w:rsid w:val="00B52394"/>
    <w:rsid w:val="00B5273B"/>
    <w:rsid w:val="00B52E37"/>
    <w:rsid w:val="00B53100"/>
    <w:rsid w:val="00B53B8D"/>
    <w:rsid w:val="00B5400A"/>
    <w:rsid w:val="00B5406F"/>
    <w:rsid w:val="00B54BD3"/>
    <w:rsid w:val="00B54C3A"/>
    <w:rsid w:val="00B553D0"/>
    <w:rsid w:val="00B5550D"/>
    <w:rsid w:val="00B55B66"/>
    <w:rsid w:val="00B56010"/>
    <w:rsid w:val="00B560D7"/>
    <w:rsid w:val="00B5617E"/>
    <w:rsid w:val="00B56EF6"/>
    <w:rsid w:val="00B570AD"/>
    <w:rsid w:val="00B576F5"/>
    <w:rsid w:val="00B5787B"/>
    <w:rsid w:val="00B57F73"/>
    <w:rsid w:val="00B60235"/>
    <w:rsid w:val="00B60396"/>
    <w:rsid w:val="00B607FC"/>
    <w:rsid w:val="00B6199A"/>
    <w:rsid w:val="00B62247"/>
    <w:rsid w:val="00B62255"/>
    <w:rsid w:val="00B627DE"/>
    <w:rsid w:val="00B6280D"/>
    <w:rsid w:val="00B62A53"/>
    <w:rsid w:val="00B62AE3"/>
    <w:rsid w:val="00B62D95"/>
    <w:rsid w:val="00B63200"/>
    <w:rsid w:val="00B6383A"/>
    <w:rsid w:val="00B641D5"/>
    <w:rsid w:val="00B64A6E"/>
    <w:rsid w:val="00B65B75"/>
    <w:rsid w:val="00B65BBA"/>
    <w:rsid w:val="00B65C5C"/>
    <w:rsid w:val="00B66056"/>
    <w:rsid w:val="00B66EF0"/>
    <w:rsid w:val="00B67884"/>
    <w:rsid w:val="00B67A39"/>
    <w:rsid w:val="00B67BB6"/>
    <w:rsid w:val="00B70163"/>
    <w:rsid w:val="00B70B24"/>
    <w:rsid w:val="00B70C0E"/>
    <w:rsid w:val="00B717DA"/>
    <w:rsid w:val="00B72E28"/>
    <w:rsid w:val="00B7354A"/>
    <w:rsid w:val="00B73D6E"/>
    <w:rsid w:val="00B740AF"/>
    <w:rsid w:val="00B754C9"/>
    <w:rsid w:val="00B7562C"/>
    <w:rsid w:val="00B76026"/>
    <w:rsid w:val="00B7680F"/>
    <w:rsid w:val="00B768B2"/>
    <w:rsid w:val="00B76C06"/>
    <w:rsid w:val="00B76D9F"/>
    <w:rsid w:val="00B76F8D"/>
    <w:rsid w:val="00B7703B"/>
    <w:rsid w:val="00B779AF"/>
    <w:rsid w:val="00B77CBA"/>
    <w:rsid w:val="00B77D4F"/>
    <w:rsid w:val="00B80391"/>
    <w:rsid w:val="00B80633"/>
    <w:rsid w:val="00B8154C"/>
    <w:rsid w:val="00B81682"/>
    <w:rsid w:val="00B81BAB"/>
    <w:rsid w:val="00B8207B"/>
    <w:rsid w:val="00B82686"/>
    <w:rsid w:val="00B827E7"/>
    <w:rsid w:val="00B82930"/>
    <w:rsid w:val="00B82B26"/>
    <w:rsid w:val="00B830A3"/>
    <w:rsid w:val="00B8313A"/>
    <w:rsid w:val="00B83246"/>
    <w:rsid w:val="00B83267"/>
    <w:rsid w:val="00B84097"/>
    <w:rsid w:val="00B84282"/>
    <w:rsid w:val="00B84374"/>
    <w:rsid w:val="00B8533E"/>
    <w:rsid w:val="00B856E4"/>
    <w:rsid w:val="00B85A73"/>
    <w:rsid w:val="00B85D6E"/>
    <w:rsid w:val="00B860E2"/>
    <w:rsid w:val="00B86AC9"/>
    <w:rsid w:val="00B872FD"/>
    <w:rsid w:val="00B87EED"/>
    <w:rsid w:val="00B9063A"/>
    <w:rsid w:val="00B906AA"/>
    <w:rsid w:val="00B90BDF"/>
    <w:rsid w:val="00B90C8A"/>
    <w:rsid w:val="00B9186D"/>
    <w:rsid w:val="00B91BE1"/>
    <w:rsid w:val="00B91D0F"/>
    <w:rsid w:val="00B922DA"/>
    <w:rsid w:val="00B92664"/>
    <w:rsid w:val="00B93029"/>
    <w:rsid w:val="00B930DE"/>
    <w:rsid w:val="00B934B8"/>
    <w:rsid w:val="00B935B1"/>
    <w:rsid w:val="00B93923"/>
    <w:rsid w:val="00B93EF2"/>
    <w:rsid w:val="00B94115"/>
    <w:rsid w:val="00B949E0"/>
    <w:rsid w:val="00B94A7F"/>
    <w:rsid w:val="00B94B9A"/>
    <w:rsid w:val="00B94CDD"/>
    <w:rsid w:val="00B95087"/>
    <w:rsid w:val="00B95103"/>
    <w:rsid w:val="00B953A1"/>
    <w:rsid w:val="00B9553C"/>
    <w:rsid w:val="00B95836"/>
    <w:rsid w:val="00B95CA7"/>
    <w:rsid w:val="00B96844"/>
    <w:rsid w:val="00B969B1"/>
    <w:rsid w:val="00B96BC9"/>
    <w:rsid w:val="00B96BCD"/>
    <w:rsid w:val="00B96C4F"/>
    <w:rsid w:val="00B97534"/>
    <w:rsid w:val="00B975E6"/>
    <w:rsid w:val="00B976A4"/>
    <w:rsid w:val="00B97AD9"/>
    <w:rsid w:val="00BA0799"/>
    <w:rsid w:val="00BA15DA"/>
    <w:rsid w:val="00BA1718"/>
    <w:rsid w:val="00BA1AF8"/>
    <w:rsid w:val="00BA1E6B"/>
    <w:rsid w:val="00BA27A3"/>
    <w:rsid w:val="00BA2D31"/>
    <w:rsid w:val="00BA37C2"/>
    <w:rsid w:val="00BA3BBF"/>
    <w:rsid w:val="00BA3C23"/>
    <w:rsid w:val="00BA416F"/>
    <w:rsid w:val="00BA4393"/>
    <w:rsid w:val="00BA4535"/>
    <w:rsid w:val="00BA4B80"/>
    <w:rsid w:val="00BA4B93"/>
    <w:rsid w:val="00BA4CF1"/>
    <w:rsid w:val="00BA577A"/>
    <w:rsid w:val="00BA5CF9"/>
    <w:rsid w:val="00BA5DD1"/>
    <w:rsid w:val="00BA5F3B"/>
    <w:rsid w:val="00BA64D6"/>
    <w:rsid w:val="00BA6C66"/>
    <w:rsid w:val="00BA7204"/>
    <w:rsid w:val="00BA75CC"/>
    <w:rsid w:val="00BA76F2"/>
    <w:rsid w:val="00BA7806"/>
    <w:rsid w:val="00BA7936"/>
    <w:rsid w:val="00BA7B2B"/>
    <w:rsid w:val="00BB03DB"/>
    <w:rsid w:val="00BB04CB"/>
    <w:rsid w:val="00BB077D"/>
    <w:rsid w:val="00BB27F4"/>
    <w:rsid w:val="00BB2C6A"/>
    <w:rsid w:val="00BB2FD9"/>
    <w:rsid w:val="00BB35EC"/>
    <w:rsid w:val="00BB3822"/>
    <w:rsid w:val="00BB399D"/>
    <w:rsid w:val="00BB3E81"/>
    <w:rsid w:val="00BB431A"/>
    <w:rsid w:val="00BB4489"/>
    <w:rsid w:val="00BB48BC"/>
    <w:rsid w:val="00BB4DDC"/>
    <w:rsid w:val="00BB4E2D"/>
    <w:rsid w:val="00BB5143"/>
    <w:rsid w:val="00BB521D"/>
    <w:rsid w:val="00BB62A3"/>
    <w:rsid w:val="00BB69E9"/>
    <w:rsid w:val="00BB6BF1"/>
    <w:rsid w:val="00BB6EC9"/>
    <w:rsid w:val="00BB7269"/>
    <w:rsid w:val="00BC0481"/>
    <w:rsid w:val="00BC04DB"/>
    <w:rsid w:val="00BC0785"/>
    <w:rsid w:val="00BC0795"/>
    <w:rsid w:val="00BC0C8E"/>
    <w:rsid w:val="00BC141B"/>
    <w:rsid w:val="00BC160A"/>
    <w:rsid w:val="00BC1887"/>
    <w:rsid w:val="00BC19FC"/>
    <w:rsid w:val="00BC1E38"/>
    <w:rsid w:val="00BC1F68"/>
    <w:rsid w:val="00BC2216"/>
    <w:rsid w:val="00BC221D"/>
    <w:rsid w:val="00BC2364"/>
    <w:rsid w:val="00BC2B11"/>
    <w:rsid w:val="00BC3ADB"/>
    <w:rsid w:val="00BC3B8C"/>
    <w:rsid w:val="00BC45C2"/>
    <w:rsid w:val="00BC502D"/>
    <w:rsid w:val="00BC5247"/>
    <w:rsid w:val="00BC55A7"/>
    <w:rsid w:val="00BC5689"/>
    <w:rsid w:val="00BC5AAB"/>
    <w:rsid w:val="00BC5D07"/>
    <w:rsid w:val="00BC6139"/>
    <w:rsid w:val="00BC6795"/>
    <w:rsid w:val="00BC6AD1"/>
    <w:rsid w:val="00BC6CB2"/>
    <w:rsid w:val="00BD04DA"/>
    <w:rsid w:val="00BD0A33"/>
    <w:rsid w:val="00BD1C13"/>
    <w:rsid w:val="00BD2127"/>
    <w:rsid w:val="00BD2B1E"/>
    <w:rsid w:val="00BD2CE5"/>
    <w:rsid w:val="00BD317B"/>
    <w:rsid w:val="00BD380A"/>
    <w:rsid w:val="00BD3900"/>
    <w:rsid w:val="00BD3D37"/>
    <w:rsid w:val="00BD3D61"/>
    <w:rsid w:val="00BD4535"/>
    <w:rsid w:val="00BD461E"/>
    <w:rsid w:val="00BD4D38"/>
    <w:rsid w:val="00BD618F"/>
    <w:rsid w:val="00BD677F"/>
    <w:rsid w:val="00BD6E56"/>
    <w:rsid w:val="00BE07E3"/>
    <w:rsid w:val="00BE1314"/>
    <w:rsid w:val="00BE17CA"/>
    <w:rsid w:val="00BE1C02"/>
    <w:rsid w:val="00BE1C1F"/>
    <w:rsid w:val="00BE1CD7"/>
    <w:rsid w:val="00BE1E37"/>
    <w:rsid w:val="00BE20C3"/>
    <w:rsid w:val="00BE309D"/>
    <w:rsid w:val="00BE3551"/>
    <w:rsid w:val="00BE404C"/>
    <w:rsid w:val="00BE414E"/>
    <w:rsid w:val="00BE43CC"/>
    <w:rsid w:val="00BE50DF"/>
    <w:rsid w:val="00BE5F97"/>
    <w:rsid w:val="00BE60E9"/>
    <w:rsid w:val="00BE6582"/>
    <w:rsid w:val="00BE6764"/>
    <w:rsid w:val="00BE6B34"/>
    <w:rsid w:val="00BE70B5"/>
    <w:rsid w:val="00BE733F"/>
    <w:rsid w:val="00BF0425"/>
    <w:rsid w:val="00BF079F"/>
    <w:rsid w:val="00BF086D"/>
    <w:rsid w:val="00BF09F0"/>
    <w:rsid w:val="00BF127A"/>
    <w:rsid w:val="00BF2374"/>
    <w:rsid w:val="00BF242E"/>
    <w:rsid w:val="00BF2B3D"/>
    <w:rsid w:val="00BF2E6A"/>
    <w:rsid w:val="00BF424C"/>
    <w:rsid w:val="00BF4ACD"/>
    <w:rsid w:val="00BF4BE6"/>
    <w:rsid w:val="00BF4D68"/>
    <w:rsid w:val="00BF513F"/>
    <w:rsid w:val="00BF51B1"/>
    <w:rsid w:val="00BF5BA4"/>
    <w:rsid w:val="00BF6442"/>
    <w:rsid w:val="00BF689B"/>
    <w:rsid w:val="00BF7022"/>
    <w:rsid w:val="00BF79BD"/>
    <w:rsid w:val="00C01051"/>
    <w:rsid w:val="00C01093"/>
    <w:rsid w:val="00C011C7"/>
    <w:rsid w:val="00C01219"/>
    <w:rsid w:val="00C022CC"/>
    <w:rsid w:val="00C02490"/>
    <w:rsid w:val="00C02776"/>
    <w:rsid w:val="00C02C3D"/>
    <w:rsid w:val="00C031A8"/>
    <w:rsid w:val="00C0343C"/>
    <w:rsid w:val="00C03B17"/>
    <w:rsid w:val="00C03D7C"/>
    <w:rsid w:val="00C040D5"/>
    <w:rsid w:val="00C0470C"/>
    <w:rsid w:val="00C04F0D"/>
    <w:rsid w:val="00C0508F"/>
    <w:rsid w:val="00C057AB"/>
    <w:rsid w:val="00C05EBF"/>
    <w:rsid w:val="00C06118"/>
    <w:rsid w:val="00C06451"/>
    <w:rsid w:val="00C067B2"/>
    <w:rsid w:val="00C06C72"/>
    <w:rsid w:val="00C06E2B"/>
    <w:rsid w:val="00C072D5"/>
    <w:rsid w:val="00C07794"/>
    <w:rsid w:val="00C07855"/>
    <w:rsid w:val="00C07BF1"/>
    <w:rsid w:val="00C07F12"/>
    <w:rsid w:val="00C106A3"/>
    <w:rsid w:val="00C10D57"/>
    <w:rsid w:val="00C10ECC"/>
    <w:rsid w:val="00C11D26"/>
    <w:rsid w:val="00C12193"/>
    <w:rsid w:val="00C1219A"/>
    <w:rsid w:val="00C12C52"/>
    <w:rsid w:val="00C12DCF"/>
    <w:rsid w:val="00C136C8"/>
    <w:rsid w:val="00C13B1D"/>
    <w:rsid w:val="00C144B4"/>
    <w:rsid w:val="00C1464E"/>
    <w:rsid w:val="00C14AEA"/>
    <w:rsid w:val="00C14D99"/>
    <w:rsid w:val="00C15118"/>
    <w:rsid w:val="00C151DD"/>
    <w:rsid w:val="00C158F6"/>
    <w:rsid w:val="00C15B32"/>
    <w:rsid w:val="00C15E8A"/>
    <w:rsid w:val="00C170B7"/>
    <w:rsid w:val="00C172F7"/>
    <w:rsid w:val="00C17FF5"/>
    <w:rsid w:val="00C2005E"/>
    <w:rsid w:val="00C203DE"/>
    <w:rsid w:val="00C203F8"/>
    <w:rsid w:val="00C206B7"/>
    <w:rsid w:val="00C20E6F"/>
    <w:rsid w:val="00C2102E"/>
    <w:rsid w:val="00C21044"/>
    <w:rsid w:val="00C21945"/>
    <w:rsid w:val="00C21ED9"/>
    <w:rsid w:val="00C21FDF"/>
    <w:rsid w:val="00C224C2"/>
    <w:rsid w:val="00C229F8"/>
    <w:rsid w:val="00C22C62"/>
    <w:rsid w:val="00C22CAD"/>
    <w:rsid w:val="00C22CDE"/>
    <w:rsid w:val="00C23137"/>
    <w:rsid w:val="00C2329B"/>
    <w:rsid w:val="00C234E9"/>
    <w:rsid w:val="00C23E80"/>
    <w:rsid w:val="00C2440F"/>
    <w:rsid w:val="00C246E0"/>
    <w:rsid w:val="00C24A85"/>
    <w:rsid w:val="00C24BE7"/>
    <w:rsid w:val="00C24F62"/>
    <w:rsid w:val="00C25098"/>
    <w:rsid w:val="00C2590E"/>
    <w:rsid w:val="00C259AA"/>
    <w:rsid w:val="00C25C86"/>
    <w:rsid w:val="00C25CCD"/>
    <w:rsid w:val="00C25E07"/>
    <w:rsid w:val="00C269B5"/>
    <w:rsid w:val="00C26A52"/>
    <w:rsid w:val="00C26C95"/>
    <w:rsid w:val="00C26F85"/>
    <w:rsid w:val="00C26FB7"/>
    <w:rsid w:val="00C27D06"/>
    <w:rsid w:val="00C27D45"/>
    <w:rsid w:val="00C30D2F"/>
    <w:rsid w:val="00C30FAB"/>
    <w:rsid w:val="00C31585"/>
    <w:rsid w:val="00C316AC"/>
    <w:rsid w:val="00C3206B"/>
    <w:rsid w:val="00C32526"/>
    <w:rsid w:val="00C32676"/>
    <w:rsid w:val="00C3268E"/>
    <w:rsid w:val="00C3288D"/>
    <w:rsid w:val="00C328E1"/>
    <w:rsid w:val="00C3295F"/>
    <w:rsid w:val="00C335E5"/>
    <w:rsid w:val="00C33903"/>
    <w:rsid w:val="00C34371"/>
    <w:rsid w:val="00C3437B"/>
    <w:rsid w:val="00C35425"/>
    <w:rsid w:val="00C354AB"/>
    <w:rsid w:val="00C355FD"/>
    <w:rsid w:val="00C36164"/>
    <w:rsid w:val="00C36437"/>
    <w:rsid w:val="00C36606"/>
    <w:rsid w:val="00C367A9"/>
    <w:rsid w:val="00C37675"/>
    <w:rsid w:val="00C37939"/>
    <w:rsid w:val="00C40326"/>
    <w:rsid w:val="00C4077E"/>
    <w:rsid w:val="00C40879"/>
    <w:rsid w:val="00C40C92"/>
    <w:rsid w:val="00C4129E"/>
    <w:rsid w:val="00C419E1"/>
    <w:rsid w:val="00C4211A"/>
    <w:rsid w:val="00C4228B"/>
    <w:rsid w:val="00C42851"/>
    <w:rsid w:val="00C42BA7"/>
    <w:rsid w:val="00C435AE"/>
    <w:rsid w:val="00C43A68"/>
    <w:rsid w:val="00C43C77"/>
    <w:rsid w:val="00C43FEA"/>
    <w:rsid w:val="00C4423C"/>
    <w:rsid w:val="00C44397"/>
    <w:rsid w:val="00C44C84"/>
    <w:rsid w:val="00C44D32"/>
    <w:rsid w:val="00C44F41"/>
    <w:rsid w:val="00C45248"/>
    <w:rsid w:val="00C45C59"/>
    <w:rsid w:val="00C4621F"/>
    <w:rsid w:val="00C50052"/>
    <w:rsid w:val="00C50EA8"/>
    <w:rsid w:val="00C510C6"/>
    <w:rsid w:val="00C51673"/>
    <w:rsid w:val="00C516D5"/>
    <w:rsid w:val="00C51BC8"/>
    <w:rsid w:val="00C5248A"/>
    <w:rsid w:val="00C52709"/>
    <w:rsid w:val="00C53179"/>
    <w:rsid w:val="00C53743"/>
    <w:rsid w:val="00C5374F"/>
    <w:rsid w:val="00C53943"/>
    <w:rsid w:val="00C53B55"/>
    <w:rsid w:val="00C5435E"/>
    <w:rsid w:val="00C548A6"/>
    <w:rsid w:val="00C549D0"/>
    <w:rsid w:val="00C54B50"/>
    <w:rsid w:val="00C54CD8"/>
    <w:rsid w:val="00C54FED"/>
    <w:rsid w:val="00C55250"/>
    <w:rsid w:val="00C55686"/>
    <w:rsid w:val="00C55A40"/>
    <w:rsid w:val="00C56187"/>
    <w:rsid w:val="00C567F5"/>
    <w:rsid w:val="00C568DD"/>
    <w:rsid w:val="00C56F7C"/>
    <w:rsid w:val="00C571F4"/>
    <w:rsid w:val="00C57665"/>
    <w:rsid w:val="00C57853"/>
    <w:rsid w:val="00C57D7A"/>
    <w:rsid w:val="00C57E61"/>
    <w:rsid w:val="00C6008B"/>
    <w:rsid w:val="00C615F1"/>
    <w:rsid w:val="00C624BB"/>
    <w:rsid w:val="00C62619"/>
    <w:rsid w:val="00C62D3A"/>
    <w:rsid w:val="00C633C3"/>
    <w:rsid w:val="00C6448D"/>
    <w:rsid w:val="00C64939"/>
    <w:rsid w:val="00C64A7C"/>
    <w:rsid w:val="00C6640C"/>
    <w:rsid w:val="00C6668B"/>
    <w:rsid w:val="00C66699"/>
    <w:rsid w:val="00C66C5E"/>
    <w:rsid w:val="00C66C7F"/>
    <w:rsid w:val="00C6759A"/>
    <w:rsid w:val="00C708E7"/>
    <w:rsid w:val="00C711AC"/>
    <w:rsid w:val="00C71239"/>
    <w:rsid w:val="00C7130D"/>
    <w:rsid w:val="00C71394"/>
    <w:rsid w:val="00C715FC"/>
    <w:rsid w:val="00C717D2"/>
    <w:rsid w:val="00C7276D"/>
    <w:rsid w:val="00C7369C"/>
    <w:rsid w:val="00C73AEF"/>
    <w:rsid w:val="00C73B52"/>
    <w:rsid w:val="00C742B1"/>
    <w:rsid w:val="00C745CE"/>
    <w:rsid w:val="00C75344"/>
    <w:rsid w:val="00C75C1F"/>
    <w:rsid w:val="00C75CC7"/>
    <w:rsid w:val="00C760F7"/>
    <w:rsid w:val="00C7622D"/>
    <w:rsid w:val="00C765E2"/>
    <w:rsid w:val="00C767BD"/>
    <w:rsid w:val="00C7706B"/>
    <w:rsid w:val="00C775E3"/>
    <w:rsid w:val="00C77637"/>
    <w:rsid w:val="00C80000"/>
    <w:rsid w:val="00C808B3"/>
    <w:rsid w:val="00C81575"/>
    <w:rsid w:val="00C817CC"/>
    <w:rsid w:val="00C818A8"/>
    <w:rsid w:val="00C81B55"/>
    <w:rsid w:val="00C8281C"/>
    <w:rsid w:val="00C82B6C"/>
    <w:rsid w:val="00C82B77"/>
    <w:rsid w:val="00C82D27"/>
    <w:rsid w:val="00C83711"/>
    <w:rsid w:val="00C845AE"/>
    <w:rsid w:val="00C84B33"/>
    <w:rsid w:val="00C85216"/>
    <w:rsid w:val="00C8582E"/>
    <w:rsid w:val="00C863F4"/>
    <w:rsid w:val="00C86C4E"/>
    <w:rsid w:val="00C86E03"/>
    <w:rsid w:val="00C86E9D"/>
    <w:rsid w:val="00C873E0"/>
    <w:rsid w:val="00C87B06"/>
    <w:rsid w:val="00C87E50"/>
    <w:rsid w:val="00C90705"/>
    <w:rsid w:val="00C91170"/>
    <w:rsid w:val="00C9294A"/>
    <w:rsid w:val="00C92E9F"/>
    <w:rsid w:val="00C932B4"/>
    <w:rsid w:val="00C93353"/>
    <w:rsid w:val="00C93AAE"/>
    <w:rsid w:val="00C93E2F"/>
    <w:rsid w:val="00C93E8A"/>
    <w:rsid w:val="00C94172"/>
    <w:rsid w:val="00C94A64"/>
    <w:rsid w:val="00C94C83"/>
    <w:rsid w:val="00C94C8F"/>
    <w:rsid w:val="00C9529E"/>
    <w:rsid w:val="00C95C87"/>
    <w:rsid w:val="00C95CE2"/>
    <w:rsid w:val="00C95D50"/>
    <w:rsid w:val="00C96204"/>
    <w:rsid w:val="00C964B4"/>
    <w:rsid w:val="00C96BDE"/>
    <w:rsid w:val="00C96DDF"/>
    <w:rsid w:val="00C96F3E"/>
    <w:rsid w:val="00C97484"/>
    <w:rsid w:val="00C97590"/>
    <w:rsid w:val="00C97D23"/>
    <w:rsid w:val="00CA0682"/>
    <w:rsid w:val="00CA1711"/>
    <w:rsid w:val="00CA1DF7"/>
    <w:rsid w:val="00CA2306"/>
    <w:rsid w:val="00CA2617"/>
    <w:rsid w:val="00CA2D61"/>
    <w:rsid w:val="00CA2EB3"/>
    <w:rsid w:val="00CA4198"/>
    <w:rsid w:val="00CA46A8"/>
    <w:rsid w:val="00CA60C9"/>
    <w:rsid w:val="00CA6612"/>
    <w:rsid w:val="00CA6949"/>
    <w:rsid w:val="00CA6E07"/>
    <w:rsid w:val="00CB00DB"/>
    <w:rsid w:val="00CB0A69"/>
    <w:rsid w:val="00CB0E62"/>
    <w:rsid w:val="00CB1167"/>
    <w:rsid w:val="00CB189E"/>
    <w:rsid w:val="00CB1F4F"/>
    <w:rsid w:val="00CB1F64"/>
    <w:rsid w:val="00CB2DB2"/>
    <w:rsid w:val="00CB2F5D"/>
    <w:rsid w:val="00CB3131"/>
    <w:rsid w:val="00CB38A7"/>
    <w:rsid w:val="00CB3FE5"/>
    <w:rsid w:val="00CB4198"/>
    <w:rsid w:val="00CB440C"/>
    <w:rsid w:val="00CB4A08"/>
    <w:rsid w:val="00CB4CD5"/>
    <w:rsid w:val="00CB5163"/>
    <w:rsid w:val="00CB5298"/>
    <w:rsid w:val="00CB5438"/>
    <w:rsid w:val="00CB5BF9"/>
    <w:rsid w:val="00CB5CD7"/>
    <w:rsid w:val="00CB5F41"/>
    <w:rsid w:val="00CB5FCD"/>
    <w:rsid w:val="00CB663A"/>
    <w:rsid w:val="00CB6C4F"/>
    <w:rsid w:val="00CB70E2"/>
    <w:rsid w:val="00CB75C5"/>
    <w:rsid w:val="00CC07AC"/>
    <w:rsid w:val="00CC08D8"/>
    <w:rsid w:val="00CC0F23"/>
    <w:rsid w:val="00CC1314"/>
    <w:rsid w:val="00CC187C"/>
    <w:rsid w:val="00CC1CEC"/>
    <w:rsid w:val="00CC1F0E"/>
    <w:rsid w:val="00CC24C2"/>
    <w:rsid w:val="00CC2813"/>
    <w:rsid w:val="00CC2EA0"/>
    <w:rsid w:val="00CC3187"/>
    <w:rsid w:val="00CC32AC"/>
    <w:rsid w:val="00CC3D2B"/>
    <w:rsid w:val="00CC3DD7"/>
    <w:rsid w:val="00CC3F47"/>
    <w:rsid w:val="00CC41CD"/>
    <w:rsid w:val="00CC44DA"/>
    <w:rsid w:val="00CC45BF"/>
    <w:rsid w:val="00CC4675"/>
    <w:rsid w:val="00CC483F"/>
    <w:rsid w:val="00CC4A65"/>
    <w:rsid w:val="00CC4CFD"/>
    <w:rsid w:val="00CC5235"/>
    <w:rsid w:val="00CC5676"/>
    <w:rsid w:val="00CC5937"/>
    <w:rsid w:val="00CC5BC7"/>
    <w:rsid w:val="00CC5F95"/>
    <w:rsid w:val="00CC6320"/>
    <w:rsid w:val="00CC6BDB"/>
    <w:rsid w:val="00CC7163"/>
    <w:rsid w:val="00CC7DD5"/>
    <w:rsid w:val="00CC7F69"/>
    <w:rsid w:val="00CD0681"/>
    <w:rsid w:val="00CD0B9D"/>
    <w:rsid w:val="00CD0F18"/>
    <w:rsid w:val="00CD17C7"/>
    <w:rsid w:val="00CD1BD3"/>
    <w:rsid w:val="00CD26DA"/>
    <w:rsid w:val="00CD2A32"/>
    <w:rsid w:val="00CD2A60"/>
    <w:rsid w:val="00CD2E3B"/>
    <w:rsid w:val="00CD3281"/>
    <w:rsid w:val="00CD359B"/>
    <w:rsid w:val="00CD3ABA"/>
    <w:rsid w:val="00CD4367"/>
    <w:rsid w:val="00CD4563"/>
    <w:rsid w:val="00CD505A"/>
    <w:rsid w:val="00CD57BB"/>
    <w:rsid w:val="00CD5D6A"/>
    <w:rsid w:val="00CD5D9B"/>
    <w:rsid w:val="00CD5F38"/>
    <w:rsid w:val="00CD606D"/>
    <w:rsid w:val="00CD70D2"/>
    <w:rsid w:val="00CD7436"/>
    <w:rsid w:val="00CD78E2"/>
    <w:rsid w:val="00CE04C1"/>
    <w:rsid w:val="00CE0743"/>
    <w:rsid w:val="00CE1063"/>
    <w:rsid w:val="00CE114E"/>
    <w:rsid w:val="00CE12A0"/>
    <w:rsid w:val="00CE23E7"/>
    <w:rsid w:val="00CE2753"/>
    <w:rsid w:val="00CE2858"/>
    <w:rsid w:val="00CE29D1"/>
    <w:rsid w:val="00CE3196"/>
    <w:rsid w:val="00CE3A83"/>
    <w:rsid w:val="00CE3B56"/>
    <w:rsid w:val="00CE43CE"/>
    <w:rsid w:val="00CE4C56"/>
    <w:rsid w:val="00CE5153"/>
    <w:rsid w:val="00CE5A78"/>
    <w:rsid w:val="00CE5A7B"/>
    <w:rsid w:val="00CE5A7C"/>
    <w:rsid w:val="00CE6125"/>
    <w:rsid w:val="00CE6797"/>
    <w:rsid w:val="00CE6BB2"/>
    <w:rsid w:val="00CE6E37"/>
    <w:rsid w:val="00CE72C3"/>
    <w:rsid w:val="00CE7501"/>
    <w:rsid w:val="00CE7DC7"/>
    <w:rsid w:val="00CE7FFD"/>
    <w:rsid w:val="00CF02B4"/>
    <w:rsid w:val="00CF0AD5"/>
    <w:rsid w:val="00CF1581"/>
    <w:rsid w:val="00CF1F2A"/>
    <w:rsid w:val="00CF20E0"/>
    <w:rsid w:val="00CF2834"/>
    <w:rsid w:val="00CF2A0E"/>
    <w:rsid w:val="00CF2E95"/>
    <w:rsid w:val="00CF361B"/>
    <w:rsid w:val="00CF38A8"/>
    <w:rsid w:val="00CF394A"/>
    <w:rsid w:val="00CF4319"/>
    <w:rsid w:val="00CF48AA"/>
    <w:rsid w:val="00CF504A"/>
    <w:rsid w:val="00CF5146"/>
    <w:rsid w:val="00CF51CC"/>
    <w:rsid w:val="00CF52FB"/>
    <w:rsid w:val="00CF551C"/>
    <w:rsid w:val="00CF56C0"/>
    <w:rsid w:val="00CF57CA"/>
    <w:rsid w:val="00CF5A3B"/>
    <w:rsid w:val="00CF5DA6"/>
    <w:rsid w:val="00CF64D2"/>
    <w:rsid w:val="00CF69BA"/>
    <w:rsid w:val="00CF6E7F"/>
    <w:rsid w:val="00D001D0"/>
    <w:rsid w:val="00D006D7"/>
    <w:rsid w:val="00D00831"/>
    <w:rsid w:val="00D01700"/>
    <w:rsid w:val="00D01FA7"/>
    <w:rsid w:val="00D0257D"/>
    <w:rsid w:val="00D034DA"/>
    <w:rsid w:val="00D0369C"/>
    <w:rsid w:val="00D03A23"/>
    <w:rsid w:val="00D04170"/>
    <w:rsid w:val="00D04237"/>
    <w:rsid w:val="00D04390"/>
    <w:rsid w:val="00D04445"/>
    <w:rsid w:val="00D0480A"/>
    <w:rsid w:val="00D04D87"/>
    <w:rsid w:val="00D04F5F"/>
    <w:rsid w:val="00D051C6"/>
    <w:rsid w:val="00D05E04"/>
    <w:rsid w:val="00D05EED"/>
    <w:rsid w:val="00D06262"/>
    <w:rsid w:val="00D06349"/>
    <w:rsid w:val="00D0643F"/>
    <w:rsid w:val="00D06E5A"/>
    <w:rsid w:val="00D06FA9"/>
    <w:rsid w:val="00D07346"/>
    <w:rsid w:val="00D07E10"/>
    <w:rsid w:val="00D07E6C"/>
    <w:rsid w:val="00D11352"/>
    <w:rsid w:val="00D13263"/>
    <w:rsid w:val="00D1328F"/>
    <w:rsid w:val="00D13CF1"/>
    <w:rsid w:val="00D1468D"/>
    <w:rsid w:val="00D1526E"/>
    <w:rsid w:val="00D15270"/>
    <w:rsid w:val="00D15320"/>
    <w:rsid w:val="00D1557E"/>
    <w:rsid w:val="00D155AD"/>
    <w:rsid w:val="00D16296"/>
    <w:rsid w:val="00D1729F"/>
    <w:rsid w:val="00D17780"/>
    <w:rsid w:val="00D17AB1"/>
    <w:rsid w:val="00D17B51"/>
    <w:rsid w:val="00D17FA1"/>
    <w:rsid w:val="00D208D9"/>
    <w:rsid w:val="00D21365"/>
    <w:rsid w:val="00D2170E"/>
    <w:rsid w:val="00D218A5"/>
    <w:rsid w:val="00D21D4A"/>
    <w:rsid w:val="00D225AA"/>
    <w:rsid w:val="00D226C1"/>
    <w:rsid w:val="00D228A1"/>
    <w:rsid w:val="00D22EAC"/>
    <w:rsid w:val="00D230BB"/>
    <w:rsid w:val="00D2438D"/>
    <w:rsid w:val="00D24559"/>
    <w:rsid w:val="00D2519D"/>
    <w:rsid w:val="00D25788"/>
    <w:rsid w:val="00D25862"/>
    <w:rsid w:val="00D259C1"/>
    <w:rsid w:val="00D25BD2"/>
    <w:rsid w:val="00D25D24"/>
    <w:rsid w:val="00D25E8D"/>
    <w:rsid w:val="00D262F9"/>
    <w:rsid w:val="00D268FC"/>
    <w:rsid w:val="00D26BA6"/>
    <w:rsid w:val="00D27508"/>
    <w:rsid w:val="00D27E4E"/>
    <w:rsid w:val="00D304D9"/>
    <w:rsid w:val="00D30BBE"/>
    <w:rsid w:val="00D30BFC"/>
    <w:rsid w:val="00D314C8"/>
    <w:rsid w:val="00D3250B"/>
    <w:rsid w:val="00D3276A"/>
    <w:rsid w:val="00D32B63"/>
    <w:rsid w:val="00D32BC5"/>
    <w:rsid w:val="00D32CAB"/>
    <w:rsid w:val="00D32CC1"/>
    <w:rsid w:val="00D342C0"/>
    <w:rsid w:val="00D350CD"/>
    <w:rsid w:val="00D3510E"/>
    <w:rsid w:val="00D351CE"/>
    <w:rsid w:val="00D35550"/>
    <w:rsid w:val="00D36292"/>
    <w:rsid w:val="00D3647F"/>
    <w:rsid w:val="00D36870"/>
    <w:rsid w:val="00D36B11"/>
    <w:rsid w:val="00D37450"/>
    <w:rsid w:val="00D37895"/>
    <w:rsid w:val="00D378CE"/>
    <w:rsid w:val="00D406B5"/>
    <w:rsid w:val="00D40A3E"/>
    <w:rsid w:val="00D41C7E"/>
    <w:rsid w:val="00D41F81"/>
    <w:rsid w:val="00D42135"/>
    <w:rsid w:val="00D42342"/>
    <w:rsid w:val="00D42A26"/>
    <w:rsid w:val="00D437EF"/>
    <w:rsid w:val="00D44B5D"/>
    <w:rsid w:val="00D44E66"/>
    <w:rsid w:val="00D4535E"/>
    <w:rsid w:val="00D4551F"/>
    <w:rsid w:val="00D459CE"/>
    <w:rsid w:val="00D45B98"/>
    <w:rsid w:val="00D46481"/>
    <w:rsid w:val="00D46512"/>
    <w:rsid w:val="00D46927"/>
    <w:rsid w:val="00D469EF"/>
    <w:rsid w:val="00D46C34"/>
    <w:rsid w:val="00D46D04"/>
    <w:rsid w:val="00D46E53"/>
    <w:rsid w:val="00D47194"/>
    <w:rsid w:val="00D472EC"/>
    <w:rsid w:val="00D4748D"/>
    <w:rsid w:val="00D47999"/>
    <w:rsid w:val="00D5055D"/>
    <w:rsid w:val="00D50B3B"/>
    <w:rsid w:val="00D50E8D"/>
    <w:rsid w:val="00D510C4"/>
    <w:rsid w:val="00D510CE"/>
    <w:rsid w:val="00D51442"/>
    <w:rsid w:val="00D5184B"/>
    <w:rsid w:val="00D520DD"/>
    <w:rsid w:val="00D52138"/>
    <w:rsid w:val="00D523B3"/>
    <w:rsid w:val="00D52963"/>
    <w:rsid w:val="00D52EED"/>
    <w:rsid w:val="00D53E11"/>
    <w:rsid w:val="00D54309"/>
    <w:rsid w:val="00D544CC"/>
    <w:rsid w:val="00D54C5E"/>
    <w:rsid w:val="00D5568E"/>
    <w:rsid w:val="00D55AFC"/>
    <w:rsid w:val="00D56B46"/>
    <w:rsid w:val="00D56F76"/>
    <w:rsid w:val="00D571A0"/>
    <w:rsid w:val="00D57BFD"/>
    <w:rsid w:val="00D6041B"/>
    <w:rsid w:val="00D6052E"/>
    <w:rsid w:val="00D608C7"/>
    <w:rsid w:val="00D6102A"/>
    <w:rsid w:val="00D6155C"/>
    <w:rsid w:val="00D615E7"/>
    <w:rsid w:val="00D61A10"/>
    <w:rsid w:val="00D61B57"/>
    <w:rsid w:val="00D622C3"/>
    <w:rsid w:val="00D6261E"/>
    <w:rsid w:val="00D6316D"/>
    <w:rsid w:val="00D63821"/>
    <w:rsid w:val="00D63C45"/>
    <w:rsid w:val="00D63F9C"/>
    <w:rsid w:val="00D64419"/>
    <w:rsid w:val="00D65433"/>
    <w:rsid w:val="00D65E09"/>
    <w:rsid w:val="00D665AE"/>
    <w:rsid w:val="00D66ACD"/>
    <w:rsid w:val="00D706A5"/>
    <w:rsid w:val="00D70FC9"/>
    <w:rsid w:val="00D710D2"/>
    <w:rsid w:val="00D71325"/>
    <w:rsid w:val="00D717FF"/>
    <w:rsid w:val="00D718CD"/>
    <w:rsid w:val="00D71F30"/>
    <w:rsid w:val="00D728EF"/>
    <w:rsid w:val="00D72E7F"/>
    <w:rsid w:val="00D73B70"/>
    <w:rsid w:val="00D74EC5"/>
    <w:rsid w:val="00D75048"/>
    <w:rsid w:val="00D7508B"/>
    <w:rsid w:val="00D75BC7"/>
    <w:rsid w:val="00D75FED"/>
    <w:rsid w:val="00D761A7"/>
    <w:rsid w:val="00D76784"/>
    <w:rsid w:val="00D76AC1"/>
    <w:rsid w:val="00D76B80"/>
    <w:rsid w:val="00D770B5"/>
    <w:rsid w:val="00D77608"/>
    <w:rsid w:val="00D778A2"/>
    <w:rsid w:val="00D77B0F"/>
    <w:rsid w:val="00D77EC8"/>
    <w:rsid w:val="00D8062A"/>
    <w:rsid w:val="00D806EF"/>
    <w:rsid w:val="00D80856"/>
    <w:rsid w:val="00D80A71"/>
    <w:rsid w:val="00D80D03"/>
    <w:rsid w:val="00D80F18"/>
    <w:rsid w:val="00D8120A"/>
    <w:rsid w:val="00D816ED"/>
    <w:rsid w:val="00D81816"/>
    <w:rsid w:val="00D81F12"/>
    <w:rsid w:val="00D81FE8"/>
    <w:rsid w:val="00D81FFD"/>
    <w:rsid w:val="00D824ED"/>
    <w:rsid w:val="00D825DE"/>
    <w:rsid w:val="00D83096"/>
    <w:rsid w:val="00D832D4"/>
    <w:rsid w:val="00D845ED"/>
    <w:rsid w:val="00D847BC"/>
    <w:rsid w:val="00D849DD"/>
    <w:rsid w:val="00D84B85"/>
    <w:rsid w:val="00D8502F"/>
    <w:rsid w:val="00D85156"/>
    <w:rsid w:val="00D85722"/>
    <w:rsid w:val="00D86865"/>
    <w:rsid w:val="00D87C58"/>
    <w:rsid w:val="00D901F5"/>
    <w:rsid w:val="00D905E2"/>
    <w:rsid w:val="00D91457"/>
    <w:rsid w:val="00D91503"/>
    <w:rsid w:val="00D924A3"/>
    <w:rsid w:val="00D92AE2"/>
    <w:rsid w:val="00D92BDF"/>
    <w:rsid w:val="00D9368F"/>
    <w:rsid w:val="00D93ACB"/>
    <w:rsid w:val="00D93F33"/>
    <w:rsid w:val="00D944A0"/>
    <w:rsid w:val="00D945F7"/>
    <w:rsid w:val="00D94DFE"/>
    <w:rsid w:val="00D95C14"/>
    <w:rsid w:val="00D95D2C"/>
    <w:rsid w:val="00D961E2"/>
    <w:rsid w:val="00D96745"/>
    <w:rsid w:val="00D968B8"/>
    <w:rsid w:val="00D96CF6"/>
    <w:rsid w:val="00D96DDB"/>
    <w:rsid w:val="00D9773A"/>
    <w:rsid w:val="00D9778B"/>
    <w:rsid w:val="00D97AB2"/>
    <w:rsid w:val="00D97E75"/>
    <w:rsid w:val="00D97F98"/>
    <w:rsid w:val="00DA0320"/>
    <w:rsid w:val="00DA0338"/>
    <w:rsid w:val="00DA0537"/>
    <w:rsid w:val="00DA070A"/>
    <w:rsid w:val="00DA09BE"/>
    <w:rsid w:val="00DA0E56"/>
    <w:rsid w:val="00DA1019"/>
    <w:rsid w:val="00DA1BB3"/>
    <w:rsid w:val="00DA1CB0"/>
    <w:rsid w:val="00DA211E"/>
    <w:rsid w:val="00DA2439"/>
    <w:rsid w:val="00DA2796"/>
    <w:rsid w:val="00DA27A7"/>
    <w:rsid w:val="00DA2D8E"/>
    <w:rsid w:val="00DA32A1"/>
    <w:rsid w:val="00DA356E"/>
    <w:rsid w:val="00DA3D5E"/>
    <w:rsid w:val="00DA3D94"/>
    <w:rsid w:val="00DA4729"/>
    <w:rsid w:val="00DA487D"/>
    <w:rsid w:val="00DA516B"/>
    <w:rsid w:val="00DA530D"/>
    <w:rsid w:val="00DA546A"/>
    <w:rsid w:val="00DA598B"/>
    <w:rsid w:val="00DA59AB"/>
    <w:rsid w:val="00DA5AE7"/>
    <w:rsid w:val="00DA5BAE"/>
    <w:rsid w:val="00DA643E"/>
    <w:rsid w:val="00DA673B"/>
    <w:rsid w:val="00DA6C24"/>
    <w:rsid w:val="00DA6F36"/>
    <w:rsid w:val="00DA7CB6"/>
    <w:rsid w:val="00DB0426"/>
    <w:rsid w:val="00DB0616"/>
    <w:rsid w:val="00DB0F4E"/>
    <w:rsid w:val="00DB1063"/>
    <w:rsid w:val="00DB1214"/>
    <w:rsid w:val="00DB1509"/>
    <w:rsid w:val="00DB18C3"/>
    <w:rsid w:val="00DB1C3B"/>
    <w:rsid w:val="00DB1E99"/>
    <w:rsid w:val="00DB1EDE"/>
    <w:rsid w:val="00DB2614"/>
    <w:rsid w:val="00DB2678"/>
    <w:rsid w:val="00DB2D03"/>
    <w:rsid w:val="00DB2DB7"/>
    <w:rsid w:val="00DB3177"/>
    <w:rsid w:val="00DB328A"/>
    <w:rsid w:val="00DB37A8"/>
    <w:rsid w:val="00DB3C07"/>
    <w:rsid w:val="00DB43D2"/>
    <w:rsid w:val="00DB4E5A"/>
    <w:rsid w:val="00DB5068"/>
    <w:rsid w:val="00DB5123"/>
    <w:rsid w:val="00DB5EBC"/>
    <w:rsid w:val="00DB63AB"/>
    <w:rsid w:val="00DB64F2"/>
    <w:rsid w:val="00DB6885"/>
    <w:rsid w:val="00DB6D53"/>
    <w:rsid w:val="00DB7009"/>
    <w:rsid w:val="00DB71DC"/>
    <w:rsid w:val="00DB73F0"/>
    <w:rsid w:val="00DB7F38"/>
    <w:rsid w:val="00DC0167"/>
    <w:rsid w:val="00DC0674"/>
    <w:rsid w:val="00DC0F2F"/>
    <w:rsid w:val="00DC111D"/>
    <w:rsid w:val="00DC172C"/>
    <w:rsid w:val="00DC1CC8"/>
    <w:rsid w:val="00DC2271"/>
    <w:rsid w:val="00DC2B74"/>
    <w:rsid w:val="00DC307D"/>
    <w:rsid w:val="00DC34D0"/>
    <w:rsid w:val="00DC36B0"/>
    <w:rsid w:val="00DC3F9A"/>
    <w:rsid w:val="00DC419E"/>
    <w:rsid w:val="00DC4355"/>
    <w:rsid w:val="00DC45D1"/>
    <w:rsid w:val="00DC5032"/>
    <w:rsid w:val="00DC58BA"/>
    <w:rsid w:val="00DC60BD"/>
    <w:rsid w:val="00DC6959"/>
    <w:rsid w:val="00DC6FE6"/>
    <w:rsid w:val="00DC7746"/>
    <w:rsid w:val="00DD0458"/>
    <w:rsid w:val="00DD05FC"/>
    <w:rsid w:val="00DD11A3"/>
    <w:rsid w:val="00DD1D84"/>
    <w:rsid w:val="00DD2124"/>
    <w:rsid w:val="00DD2801"/>
    <w:rsid w:val="00DD3742"/>
    <w:rsid w:val="00DD3BEC"/>
    <w:rsid w:val="00DD3C0E"/>
    <w:rsid w:val="00DD3CE3"/>
    <w:rsid w:val="00DD3F60"/>
    <w:rsid w:val="00DD42A5"/>
    <w:rsid w:val="00DD4A27"/>
    <w:rsid w:val="00DD52F6"/>
    <w:rsid w:val="00DD53CF"/>
    <w:rsid w:val="00DD5556"/>
    <w:rsid w:val="00DD5CF6"/>
    <w:rsid w:val="00DD5D05"/>
    <w:rsid w:val="00DD6143"/>
    <w:rsid w:val="00DD639D"/>
    <w:rsid w:val="00DD68D2"/>
    <w:rsid w:val="00DD6947"/>
    <w:rsid w:val="00DD6967"/>
    <w:rsid w:val="00DD6ABF"/>
    <w:rsid w:val="00DD6AD2"/>
    <w:rsid w:val="00DD6AD9"/>
    <w:rsid w:val="00DD759C"/>
    <w:rsid w:val="00DD7717"/>
    <w:rsid w:val="00DD7748"/>
    <w:rsid w:val="00DD785F"/>
    <w:rsid w:val="00DD7F24"/>
    <w:rsid w:val="00DE0327"/>
    <w:rsid w:val="00DE071F"/>
    <w:rsid w:val="00DE0D45"/>
    <w:rsid w:val="00DE0E01"/>
    <w:rsid w:val="00DE1153"/>
    <w:rsid w:val="00DE14CE"/>
    <w:rsid w:val="00DE1790"/>
    <w:rsid w:val="00DE2368"/>
    <w:rsid w:val="00DE2993"/>
    <w:rsid w:val="00DE2B66"/>
    <w:rsid w:val="00DE2C8D"/>
    <w:rsid w:val="00DE2E80"/>
    <w:rsid w:val="00DE31EF"/>
    <w:rsid w:val="00DE3349"/>
    <w:rsid w:val="00DE34C4"/>
    <w:rsid w:val="00DE363C"/>
    <w:rsid w:val="00DE5684"/>
    <w:rsid w:val="00DE597F"/>
    <w:rsid w:val="00DE5A83"/>
    <w:rsid w:val="00DE5D56"/>
    <w:rsid w:val="00DE5ECF"/>
    <w:rsid w:val="00DE6133"/>
    <w:rsid w:val="00DE667B"/>
    <w:rsid w:val="00DE6A63"/>
    <w:rsid w:val="00DE7337"/>
    <w:rsid w:val="00DE78A3"/>
    <w:rsid w:val="00DE78E6"/>
    <w:rsid w:val="00DE7F1A"/>
    <w:rsid w:val="00DF0966"/>
    <w:rsid w:val="00DF09AF"/>
    <w:rsid w:val="00DF09E6"/>
    <w:rsid w:val="00DF0A42"/>
    <w:rsid w:val="00DF0AB5"/>
    <w:rsid w:val="00DF0DF9"/>
    <w:rsid w:val="00DF1187"/>
    <w:rsid w:val="00DF21DF"/>
    <w:rsid w:val="00DF2CBB"/>
    <w:rsid w:val="00DF2E2A"/>
    <w:rsid w:val="00DF2EA5"/>
    <w:rsid w:val="00DF3590"/>
    <w:rsid w:val="00DF38D7"/>
    <w:rsid w:val="00DF419A"/>
    <w:rsid w:val="00DF41A6"/>
    <w:rsid w:val="00DF436C"/>
    <w:rsid w:val="00DF4DA7"/>
    <w:rsid w:val="00DF50FB"/>
    <w:rsid w:val="00DF5609"/>
    <w:rsid w:val="00DF5B85"/>
    <w:rsid w:val="00DF5F35"/>
    <w:rsid w:val="00DF62D5"/>
    <w:rsid w:val="00DF6742"/>
    <w:rsid w:val="00DF6944"/>
    <w:rsid w:val="00DF6DD1"/>
    <w:rsid w:val="00DF700B"/>
    <w:rsid w:val="00DF720B"/>
    <w:rsid w:val="00E000AF"/>
    <w:rsid w:val="00E005C6"/>
    <w:rsid w:val="00E0079C"/>
    <w:rsid w:val="00E01860"/>
    <w:rsid w:val="00E01B5E"/>
    <w:rsid w:val="00E01EBA"/>
    <w:rsid w:val="00E0254A"/>
    <w:rsid w:val="00E031DF"/>
    <w:rsid w:val="00E032C4"/>
    <w:rsid w:val="00E03418"/>
    <w:rsid w:val="00E0357E"/>
    <w:rsid w:val="00E038AE"/>
    <w:rsid w:val="00E03C4F"/>
    <w:rsid w:val="00E03DB0"/>
    <w:rsid w:val="00E06256"/>
    <w:rsid w:val="00E06650"/>
    <w:rsid w:val="00E0695C"/>
    <w:rsid w:val="00E06D97"/>
    <w:rsid w:val="00E07370"/>
    <w:rsid w:val="00E07584"/>
    <w:rsid w:val="00E0766A"/>
    <w:rsid w:val="00E07F4A"/>
    <w:rsid w:val="00E10122"/>
    <w:rsid w:val="00E102A4"/>
    <w:rsid w:val="00E106F0"/>
    <w:rsid w:val="00E1095D"/>
    <w:rsid w:val="00E112E9"/>
    <w:rsid w:val="00E11642"/>
    <w:rsid w:val="00E11E06"/>
    <w:rsid w:val="00E123DC"/>
    <w:rsid w:val="00E12FE0"/>
    <w:rsid w:val="00E13302"/>
    <w:rsid w:val="00E1372C"/>
    <w:rsid w:val="00E14B14"/>
    <w:rsid w:val="00E14DAC"/>
    <w:rsid w:val="00E15123"/>
    <w:rsid w:val="00E15423"/>
    <w:rsid w:val="00E163B4"/>
    <w:rsid w:val="00E167C8"/>
    <w:rsid w:val="00E16852"/>
    <w:rsid w:val="00E16C8E"/>
    <w:rsid w:val="00E17616"/>
    <w:rsid w:val="00E179C1"/>
    <w:rsid w:val="00E200F6"/>
    <w:rsid w:val="00E2024B"/>
    <w:rsid w:val="00E205DA"/>
    <w:rsid w:val="00E206E2"/>
    <w:rsid w:val="00E20EEE"/>
    <w:rsid w:val="00E212C8"/>
    <w:rsid w:val="00E21404"/>
    <w:rsid w:val="00E2183A"/>
    <w:rsid w:val="00E218EB"/>
    <w:rsid w:val="00E21B1E"/>
    <w:rsid w:val="00E21DEA"/>
    <w:rsid w:val="00E222EB"/>
    <w:rsid w:val="00E223FB"/>
    <w:rsid w:val="00E226C7"/>
    <w:rsid w:val="00E234F1"/>
    <w:rsid w:val="00E23513"/>
    <w:rsid w:val="00E237AB"/>
    <w:rsid w:val="00E23A84"/>
    <w:rsid w:val="00E23B4C"/>
    <w:rsid w:val="00E241E7"/>
    <w:rsid w:val="00E24625"/>
    <w:rsid w:val="00E24F8C"/>
    <w:rsid w:val="00E253BC"/>
    <w:rsid w:val="00E258EE"/>
    <w:rsid w:val="00E25B47"/>
    <w:rsid w:val="00E25C1B"/>
    <w:rsid w:val="00E25FE2"/>
    <w:rsid w:val="00E26075"/>
    <w:rsid w:val="00E26E89"/>
    <w:rsid w:val="00E26EB3"/>
    <w:rsid w:val="00E2706E"/>
    <w:rsid w:val="00E273B0"/>
    <w:rsid w:val="00E273F4"/>
    <w:rsid w:val="00E2754C"/>
    <w:rsid w:val="00E279D3"/>
    <w:rsid w:val="00E30231"/>
    <w:rsid w:val="00E3024A"/>
    <w:rsid w:val="00E30BE2"/>
    <w:rsid w:val="00E30C4A"/>
    <w:rsid w:val="00E30FFD"/>
    <w:rsid w:val="00E3109D"/>
    <w:rsid w:val="00E31638"/>
    <w:rsid w:val="00E31A09"/>
    <w:rsid w:val="00E31DA1"/>
    <w:rsid w:val="00E31FE0"/>
    <w:rsid w:val="00E32134"/>
    <w:rsid w:val="00E324E8"/>
    <w:rsid w:val="00E32603"/>
    <w:rsid w:val="00E32687"/>
    <w:rsid w:val="00E32982"/>
    <w:rsid w:val="00E32FA4"/>
    <w:rsid w:val="00E330D7"/>
    <w:rsid w:val="00E33528"/>
    <w:rsid w:val="00E3415E"/>
    <w:rsid w:val="00E34181"/>
    <w:rsid w:val="00E34AE4"/>
    <w:rsid w:val="00E34C79"/>
    <w:rsid w:val="00E34E3C"/>
    <w:rsid w:val="00E34E99"/>
    <w:rsid w:val="00E3650F"/>
    <w:rsid w:val="00E36DC1"/>
    <w:rsid w:val="00E3738C"/>
    <w:rsid w:val="00E3772D"/>
    <w:rsid w:val="00E378BA"/>
    <w:rsid w:val="00E3794F"/>
    <w:rsid w:val="00E40039"/>
    <w:rsid w:val="00E402C4"/>
    <w:rsid w:val="00E40410"/>
    <w:rsid w:val="00E408E8"/>
    <w:rsid w:val="00E40B77"/>
    <w:rsid w:val="00E40F1A"/>
    <w:rsid w:val="00E41FD6"/>
    <w:rsid w:val="00E42607"/>
    <w:rsid w:val="00E42E0D"/>
    <w:rsid w:val="00E43352"/>
    <w:rsid w:val="00E4337F"/>
    <w:rsid w:val="00E44544"/>
    <w:rsid w:val="00E446BF"/>
    <w:rsid w:val="00E457F1"/>
    <w:rsid w:val="00E4593A"/>
    <w:rsid w:val="00E45969"/>
    <w:rsid w:val="00E4638E"/>
    <w:rsid w:val="00E4697D"/>
    <w:rsid w:val="00E47F4A"/>
    <w:rsid w:val="00E50772"/>
    <w:rsid w:val="00E50D47"/>
    <w:rsid w:val="00E510A6"/>
    <w:rsid w:val="00E51555"/>
    <w:rsid w:val="00E51859"/>
    <w:rsid w:val="00E51DC8"/>
    <w:rsid w:val="00E52B23"/>
    <w:rsid w:val="00E52E2B"/>
    <w:rsid w:val="00E5401D"/>
    <w:rsid w:val="00E5424A"/>
    <w:rsid w:val="00E5466C"/>
    <w:rsid w:val="00E549C8"/>
    <w:rsid w:val="00E551CB"/>
    <w:rsid w:val="00E55517"/>
    <w:rsid w:val="00E55522"/>
    <w:rsid w:val="00E55A21"/>
    <w:rsid w:val="00E55EE8"/>
    <w:rsid w:val="00E56ABC"/>
    <w:rsid w:val="00E570EE"/>
    <w:rsid w:val="00E609BD"/>
    <w:rsid w:val="00E60D2A"/>
    <w:rsid w:val="00E61048"/>
    <w:rsid w:val="00E613E7"/>
    <w:rsid w:val="00E618E2"/>
    <w:rsid w:val="00E61968"/>
    <w:rsid w:val="00E61BC3"/>
    <w:rsid w:val="00E61C62"/>
    <w:rsid w:val="00E6207B"/>
    <w:rsid w:val="00E620D5"/>
    <w:rsid w:val="00E6248C"/>
    <w:rsid w:val="00E624E8"/>
    <w:rsid w:val="00E62AB9"/>
    <w:rsid w:val="00E639ED"/>
    <w:rsid w:val="00E63DA5"/>
    <w:rsid w:val="00E64470"/>
    <w:rsid w:val="00E646CB"/>
    <w:rsid w:val="00E6688A"/>
    <w:rsid w:val="00E671F8"/>
    <w:rsid w:val="00E6748E"/>
    <w:rsid w:val="00E674EC"/>
    <w:rsid w:val="00E67A64"/>
    <w:rsid w:val="00E7044C"/>
    <w:rsid w:val="00E709A8"/>
    <w:rsid w:val="00E70BEA"/>
    <w:rsid w:val="00E70C20"/>
    <w:rsid w:val="00E70D4F"/>
    <w:rsid w:val="00E71344"/>
    <w:rsid w:val="00E7161A"/>
    <w:rsid w:val="00E71813"/>
    <w:rsid w:val="00E72DA6"/>
    <w:rsid w:val="00E7331B"/>
    <w:rsid w:val="00E73996"/>
    <w:rsid w:val="00E7431D"/>
    <w:rsid w:val="00E7504A"/>
    <w:rsid w:val="00E75051"/>
    <w:rsid w:val="00E7538E"/>
    <w:rsid w:val="00E76522"/>
    <w:rsid w:val="00E77451"/>
    <w:rsid w:val="00E7778A"/>
    <w:rsid w:val="00E77BEE"/>
    <w:rsid w:val="00E80A94"/>
    <w:rsid w:val="00E80ACA"/>
    <w:rsid w:val="00E80F74"/>
    <w:rsid w:val="00E8139D"/>
    <w:rsid w:val="00E8265D"/>
    <w:rsid w:val="00E82956"/>
    <w:rsid w:val="00E82C39"/>
    <w:rsid w:val="00E83604"/>
    <w:rsid w:val="00E83F2A"/>
    <w:rsid w:val="00E84FB9"/>
    <w:rsid w:val="00E857F0"/>
    <w:rsid w:val="00E85E80"/>
    <w:rsid w:val="00E861E1"/>
    <w:rsid w:val="00E8665F"/>
    <w:rsid w:val="00E8703E"/>
    <w:rsid w:val="00E87FBC"/>
    <w:rsid w:val="00E90715"/>
    <w:rsid w:val="00E90A75"/>
    <w:rsid w:val="00E91707"/>
    <w:rsid w:val="00E91866"/>
    <w:rsid w:val="00E92436"/>
    <w:rsid w:val="00E924CA"/>
    <w:rsid w:val="00E927B7"/>
    <w:rsid w:val="00E931E1"/>
    <w:rsid w:val="00E934BA"/>
    <w:rsid w:val="00E9475D"/>
    <w:rsid w:val="00E94826"/>
    <w:rsid w:val="00E949BA"/>
    <w:rsid w:val="00E94F4C"/>
    <w:rsid w:val="00E95276"/>
    <w:rsid w:val="00E9533D"/>
    <w:rsid w:val="00E9542A"/>
    <w:rsid w:val="00E95D69"/>
    <w:rsid w:val="00E9619A"/>
    <w:rsid w:val="00E9627C"/>
    <w:rsid w:val="00E96638"/>
    <w:rsid w:val="00E96786"/>
    <w:rsid w:val="00E972A8"/>
    <w:rsid w:val="00E97971"/>
    <w:rsid w:val="00E97DD9"/>
    <w:rsid w:val="00E97E69"/>
    <w:rsid w:val="00EA062E"/>
    <w:rsid w:val="00EA0C11"/>
    <w:rsid w:val="00EA1711"/>
    <w:rsid w:val="00EA21AA"/>
    <w:rsid w:val="00EA22E5"/>
    <w:rsid w:val="00EA23DC"/>
    <w:rsid w:val="00EA2F6B"/>
    <w:rsid w:val="00EA314B"/>
    <w:rsid w:val="00EA368E"/>
    <w:rsid w:val="00EA3FED"/>
    <w:rsid w:val="00EA409D"/>
    <w:rsid w:val="00EA41FD"/>
    <w:rsid w:val="00EA44EF"/>
    <w:rsid w:val="00EA49E7"/>
    <w:rsid w:val="00EA5122"/>
    <w:rsid w:val="00EA5924"/>
    <w:rsid w:val="00EA5BB4"/>
    <w:rsid w:val="00EA6103"/>
    <w:rsid w:val="00EA6188"/>
    <w:rsid w:val="00EA6567"/>
    <w:rsid w:val="00EA6575"/>
    <w:rsid w:val="00EA66E6"/>
    <w:rsid w:val="00EA7CE2"/>
    <w:rsid w:val="00EA7F2A"/>
    <w:rsid w:val="00EB0ACA"/>
    <w:rsid w:val="00EB0C81"/>
    <w:rsid w:val="00EB0D79"/>
    <w:rsid w:val="00EB0EAB"/>
    <w:rsid w:val="00EB1ACD"/>
    <w:rsid w:val="00EB2334"/>
    <w:rsid w:val="00EB2419"/>
    <w:rsid w:val="00EB24B0"/>
    <w:rsid w:val="00EB2642"/>
    <w:rsid w:val="00EB3204"/>
    <w:rsid w:val="00EB34B8"/>
    <w:rsid w:val="00EB37D6"/>
    <w:rsid w:val="00EB39F4"/>
    <w:rsid w:val="00EB4298"/>
    <w:rsid w:val="00EB44AB"/>
    <w:rsid w:val="00EB4D94"/>
    <w:rsid w:val="00EB55BD"/>
    <w:rsid w:val="00EB5A76"/>
    <w:rsid w:val="00EB5E47"/>
    <w:rsid w:val="00EB6C43"/>
    <w:rsid w:val="00EB6D42"/>
    <w:rsid w:val="00EB6ECB"/>
    <w:rsid w:val="00EB727C"/>
    <w:rsid w:val="00EB73B4"/>
    <w:rsid w:val="00EC064B"/>
    <w:rsid w:val="00EC086C"/>
    <w:rsid w:val="00EC0B69"/>
    <w:rsid w:val="00EC1662"/>
    <w:rsid w:val="00EC194C"/>
    <w:rsid w:val="00EC201E"/>
    <w:rsid w:val="00EC25F4"/>
    <w:rsid w:val="00EC2871"/>
    <w:rsid w:val="00EC2954"/>
    <w:rsid w:val="00EC2B3D"/>
    <w:rsid w:val="00EC3656"/>
    <w:rsid w:val="00EC371B"/>
    <w:rsid w:val="00EC3AFB"/>
    <w:rsid w:val="00EC3DAB"/>
    <w:rsid w:val="00EC4540"/>
    <w:rsid w:val="00EC4595"/>
    <w:rsid w:val="00EC4FA4"/>
    <w:rsid w:val="00EC5340"/>
    <w:rsid w:val="00EC574F"/>
    <w:rsid w:val="00EC5AC7"/>
    <w:rsid w:val="00EC6020"/>
    <w:rsid w:val="00EC6196"/>
    <w:rsid w:val="00EC63E6"/>
    <w:rsid w:val="00EC66D3"/>
    <w:rsid w:val="00EC6BCA"/>
    <w:rsid w:val="00ED0AE4"/>
    <w:rsid w:val="00ED0B4D"/>
    <w:rsid w:val="00ED1288"/>
    <w:rsid w:val="00ED12C9"/>
    <w:rsid w:val="00ED1854"/>
    <w:rsid w:val="00ED22C3"/>
    <w:rsid w:val="00ED2570"/>
    <w:rsid w:val="00ED28C4"/>
    <w:rsid w:val="00ED32BC"/>
    <w:rsid w:val="00ED34F7"/>
    <w:rsid w:val="00ED3E59"/>
    <w:rsid w:val="00ED47DE"/>
    <w:rsid w:val="00ED48C1"/>
    <w:rsid w:val="00ED504E"/>
    <w:rsid w:val="00ED55A4"/>
    <w:rsid w:val="00ED6075"/>
    <w:rsid w:val="00ED6167"/>
    <w:rsid w:val="00ED69DC"/>
    <w:rsid w:val="00ED6AEB"/>
    <w:rsid w:val="00ED6F38"/>
    <w:rsid w:val="00ED732D"/>
    <w:rsid w:val="00ED7561"/>
    <w:rsid w:val="00ED7919"/>
    <w:rsid w:val="00ED7B12"/>
    <w:rsid w:val="00ED7C8C"/>
    <w:rsid w:val="00EE1103"/>
    <w:rsid w:val="00EE1BFB"/>
    <w:rsid w:val="00EE1E5F"/>
    <w:rsid w:val="00EE2AD4"/>
    <w:rsid w:val="00EE2DF5"/>
    <w:rsid w:val="00EE2F18"/>
    <w:rsid w:val="00EE3159"/>
    <w:rsid w:val="00EE33AE"/>
    <w:rsid w:val="00EE5134"/>
    <w:rsid w:val="00EE5651"/>
    <w:rsid w:val="00EE5A50"/>
    <w:rsid w:val="00EE5B84"/>
    <w:rsid w:val="00EE5C52"/>
    <w:rsid w:val="00EE5D46"/>
    <w:rsid w:val="00EE6549"/>
    <w:rsid w:val="00EE67A7"/>
    <w:rsid w:val="00EE6B09"/>
    <w:rsid w:val="00EE7581"/>
    <w:rsid w:val="00EE7686"/>
    <w:rsid w:val="00EE7B06"/>
    <w:rsid w:val="00EE7B4F"/>
    <w:rsid w:val="00EF01FA"/>
    <w:rsid w:val="00EF04A4"/>
    <w:rsid w:val="00EF06CC"/>
    <w:rsid w:val="00EF1D80"/>
    <w:rsid w:val="00EF1DD9"/>
    <w:rsid w:val="00EF1EFE"/>
    <w:rsid w:val="00EF2AE8"/>
    <w:rsid w:val="00EF320F"/>
    <w:rsid w:val="00EF3DAB"/>
    <w:rsid w:val="00EF44FE"/>
    <w:rsid w:val="00EF4DD6"/>
    <w:rsid w:val="00EF50F7"/>
    <w:rsid w:val="00EF521E"/>
    <w:rsid w:val="00EF5D9A"/>
    <w:rsid w:val="00EF6800"/>
    <w:rsid w:val="00EF7021"/>
    <w:rsid w:val="00EF7401"/>
    <w:rsid w:val="00EF76D5"/>
    <w:rsid w:val="00EF7B46"/>
    <w:rsid w:val="00EF7E1F"/>
    <w:rsid w:val="00F00C8C"/>
    <w:rsid w:val="00F012F4"/>
    <w:rsid w:val="00F01306"/>
    <w:rsid w:val="00F018B7"/>
    <w:rsid w:val="00F01D6B"/>
    <w:rsid w:val="00F021B2"/>
    <w:rsid w:val="00F021C4"/>
    <w:rsid w:val="00F02CAA"/>
    <w:rsid w:val="00F02D18"/>
    <w:rsid w:val="00F03655"/>
    <w:rsid w:val="00F037BD"/>
    <w:rsid w:val="00F039AA"/>
    <w:rsid w:val="00F047E8"/>
    <w:rsid w:val="00F04CBA"/>
    <w:rsid w:val="00F04F42"/>
    <w:rsid w:val="00F0571A"/>
    <w:rsid w:val="00F05DAD"/>
    <w:rsid w:val="00F061FD"/>
    <w:rsid w:val="00F06948"/>
    <w:rsid w:val="00F069B9"/>
    <w:rsid w:val="00F06ED2"/>
    <w:rsid w:val="00F06F5D"/>
    <w:rsid w:val="00F072A2"/>
    <w:rsid w:val="00F0737D"/>
    <w:rsid w:val="00F10A09"/>
    <w:rsid w:val="00F10BB9"/>
    <w:rsid w:val="00F10D6A"/>
    <w:rsid w:val="00F11301"/>
    <w:rsid w:val="00F115B4"/>
    <w:rsid w:val="00F1183A"/>
    <w:rsid w:val="00F11CEC"/>
    <w:rsid w:val="00F136BF"/>
    <w:rsid w:val="00F13A75"/>
    <w:rsid w:val="00F13BC0"/>
    <w:rsid w:val="00F13DD1"/>
    <w:rsid w:val="00F14837"/>
    <w:rsid w:val="00F154BE"/>
    <w:rsid w:val="00F15693"/>
    <w:rsid w:val="00F16ABB"/>
    <w:rsid w:val="00F16B64"/>
    <w:rsid w:val="00F16D34"/>
    <w:rsid w:val="00F17231"/>
    <w:rsid w:val="00F175C9"/>
    <w:rsid w:val="00F17F7A"/>
    <w:rsid w:val="00F2019A"/>
    <w:rsid w:val="00F20973"/>
    <w:rsid w:val="00F20C8B"/>
    <w:rsid w:val="00F20D38"/>
    <w:rsid w:val="00F20DB3"/>
    <w:rsid w:val="00F219B8"/>
    <w:rsid w:val="00F21A42"/>
    <w:rsid w:val="00F21D0C"/>
    <w:rsid w:val="00F21EF0"/>
    <w:rsid w:val="00F21F7E"/>
    <w:rsid w:val="00F2258F"/>
    <w:rsid w:val="00F22C41"/>
    <w:rsid w:val="00F22C79"/>
    <w:rsid w:val="00F22E9D"/>
    <w:rsid w:val="00F23157"/>
    <w:rsid w:val="00F23887"/>
    <w:rsid w:val="00F246CB"/>
    <w:rsid w:val="00F248D4"/>
    <w:rsid w:val="00F24CE6"/>
    <w:rsid w:val="00F25584"/>
    <w:rsid w:val="00F25780"/>
    <w:rsid w:val="00F25829"/>
    <w:rsid w:val="00F25ABF"/>
    <w:rsid w:val="00F25C51"/>
    <w:rsid w:val="00F25DD1"/>
    <w:rsid w:val="00F25EE1"/>
    <w:rsid w:val="00F27127"/>
    <w:rsid w:val="00F27C16"/>
    <w:rsid w:val="00F30278"/>
    <w:rsid w:val="00F302F7"/>
    <w:rsid w:val="00F30783"/>
    <w:rsid w:val="00F30819"/>
    <w:rsid w:val="00F308E8"/>
    <w:rsid w:val="00F309CC"/>
    <w:rsid w:val="00F30B19"/>
    <w:rsid w:val="00F31111"/>
    <w:rsid w:val="00F31538"/>
    <w:rsid w:val="00F318F8"/>
    <w:rsid w:val="00F31CAB"/>
    <w:rsid w:val="00F320F6"/>
    <w:rsid w:val="00F32127"/>
    <w:rsid w:val="00F3265F"/>
    <w:rsid w:val="00F32DFB"/>
    <w:rsid w:val="00F33280"/>
    <w:rsid w:val="00F33416"/>
    <w:rsid w:val="00F338F8"/>
    <w:rsid w:val="00F33C02"/>
    <w:rsid w:val="00F34542"/>
    <w:rsid w:val="00F34B5D"/>
    <w:rsid w:val="00F34D60"/>
    <w:rsid w:val="00F34FCA"/>
    <w:rsid w:val="00F35908"/>
    <w:rsid w:val="00F365F7"/>
    <w:rsid w:val="00F367D6"/>
    <w:rsid w:val="00F37679"/>
    <w:rsid w:val="00F37955"/>
    <w:rsid w:val="00F40252"/>
    <w:rsid w:val="00F402E8"/>
    <w:rsid w:val="00F407F4"/>
    <w:rsid w:val="00F40808"/>
    <w:rsid w:val="00F409D4"/>
    <w:rsid w:val="00F40B7E"/>
    <w:rsid w:val="00F40D1F"/>
    <w:rsid w:val="00F41014"/>
    <w:rsid w:val="00F41683"/>
    <w:rsid w:val="00F41903"/>
    <w:rsid w:val="00F4236F"/>
    <w:rsid w:val="00F4244B"/>
    <w:rsid w:val="00F429E9"/>
    <w:rsid w:val="00F42D87"/>
    <w:rsid w:val="00F431B4"/>
    <w:rsid w:val="00F43644"/>
    <w:rsid w:val="00F4370B"/>
    <w:rsid w:val="00F4389D"/>
    <w:rsid w:val="00F43CC3"/>
    <w:rsid w:val="00F441DE"/>
    <w:rsid w:val="00F4559D"/>
    <w:rsid w:val="00F46049"/>
    <w:rsid w:val="00F46860"/>
    <w:rsid w:val="00F46EE4"/>
    <w:rsid w:val="00F477CA"/>
    <w:rsid w:val="00F47820"/>
    <w:rsid w:val="00F47919"/>
    <w:rsid w:val="00F479E0"/>
    <w:rsid w:val="00F47A2F"/>
    <w:rsid w:val="00F47D75"/>
    <w:rsid w:val="00F47EDD"/>
    <w:rsid w:val="00F50632"/>
    <w:rsid w:val="00F50707"/>
    <w:rsid w:val="00F50D58"/>
    <w:rsid w:val="00F50DA9"/>
    <w:rsid w:val="00F50F4B"/>
    <w:rsid w:val="00F5153F"/>
    <w:rsid w:val="00F51914"/>
    <w:rsid w:val="00F519BB"/>
    <w:rsid w:val="00F52168"/>
    <w:rsid w:val="00F5266C"/>
    <w:rsid w:val="00F52707"/>
    <w:rsid w:val="00F528A3"/>
    <w:rsid w:val="00F52BF3"/>
    <w:rsid w:val="00F531F6"/>
    <w:rsid w:val="00F535E9"/>
    <w:rsid w:val="00F538AA"/>
    <w:rsid w:val="00F544DB"/>
    <w:rsid w:val="00F547E3"/>
    <w:rsid w:val="00F54C85"/>
    <w:rsid w:val="00F55A5A"/>
    <w:rsid w:val="00F55BB6"/>
    <w:rsid w:val="00F55BF1"/>
    <w:rsid w:val="00F565B4"/>
    <w:rsid w:val="00F57326"/>
    <w:rsid w:val="00F57589"/>
    <w:rsid w:val="00F575F7"/>
    <w:rsid w:val="00F578A5"/>
    <w:rsid w:val="00F60309"/>
    <w:rsid w:val="00F60B71"/>
    <w:rsid w:val="00F6147D"/>
    <w:rsid w:val="00F616E3"/>
    <w:rsid w:val="00F61994"/>
    <w:rsid w:val="00F6315F"/>
    <w:rsid w:val="00F63710"/>
    <w:rsid w:val="00F644C6"/>
    <w:rsid w:val="00F64714"/>
    <w:rsid w:val="00F64B62"/>
    <w:rsid w:val="00F64F56"/>
    <w:rsid w:val="00F659AE"/>
    <w:rsid w:val="00F66D0B"/>
    <w:rsid w:val="00F66E6F"/>
    <w:rsid w:val="00F70775"/>
    <w:rsid w:val="00F70D28"/>
    <w:rsid w:val="00F710F5"/>
    <w:rsid w:val="00F71D39"/>
    <w:rsid w:val="00F71EC9"/>
    <w:rsid w:val="00F72221"/>
    <w:rsid w:val="00F723A0"/>
    <w:rsid w:val="00F727C7"/>
    <w:rsid w:val="00F72B77"/>
    <w:rsid w:val="00F73177"/>
    <w:rsid w:val="00F73761"/>
    <w:rsid w:val="00F73989"/>
    <w:rsid w:val="00F744B3"/>
    <w:rsid w:val="00F7486C"/>
    <w:rsid w:val="00F74CB9"/>
    <w:rsid w:val="00F75C30"/>
    <w:rsid w:val="00F7680C"/>
    <w:rsid w:val="00F76996"/>
    <w:rsid w:val="00F76C69"/>
    <w:rsid w:val="00F76CF5"/>
    <w:rsid w:val="00F76FD4"/>
    <w:rsid w:val="00F7711E"/>
    <w:rsid w:val="00F77692"/>
    <w:rsid w:val="00F777CA"/>
    <w:rsid w:val="00F7795B"/>
    <w:rsid w:val="00F77FE6"/>
    <w:rsid w:val="00F80B86"/>
    <w:rsid w:val="00F80EC5"/>
    <w:rsid w:val="00F81347"/>
    <w:rsid w:val="00F8139C"/>
    <w:rsid w:val="00F81D6B"/>
    <w:rsid w:val="00F82378"/>
    <w:rsid w:val="00F82A25"/>
    <w:rsid w:val="00F82BA5"/>
    <w:rsid w:val="00F830F5"/>
    <w:rsid w:val="00F8314B"/>
    <w:rsid w:val="00F83B5A"/>
    <w:rsid w:val="00F83EFA"/>
    <w:rsid w:val="00F84174"/>
    <w:rsid w:val="00F8439A"/>
    <w:rsid w:val="00F849E5"/>
    <w:rsid w:val="00F8643C"/>
    <w:rsid w:val="00F864B6"/>
    <w:rsid w:val="00F8686F"/>
    <w:rsid w:val="00F86F70"/>
    <w:rsid w:val="00F87160"/>
    <w:rsid w:val="00F87317"/>
    <w:rsid w:val="00F8759F"/>
    <w:rsid w:val="00F87945"/>
    <w:rsid w:val="00F87CE1"/>
    <w:rsid w:val="00F87E7C"/>
    <w:rsid w:val="00F906F9"/>
    <w:rsid w:val="00F90A2C"/>
    <w:rsid w:val="00F90AB6"/>
    <w:rsid w:val="00F91064"/>
    <w:rsid w:val="00F91704"/>
    <w:rsid w:val="00F92563"/>
    <w:rsid w:val="00F92A97"/>
    <w:rsid w:val="00F92BDE"/>
    <w:rsid w:val="00F92C6A"/>
    <w:rsid w:val="00F92DF1"/>
    <w:rsid w:val="00F930B2"/>
    <w:rsid w:val="00F93AE1"/>
    <w:rsid w:val="00F93CDF"/>
    <w:rsid w:val="00F94005"/>
    <w:rsid w:val="00F94052"/>
    <w:rsid w:val="00F94591"/>
    <w:rsid w:val="00F946D1"/>
    <w:rsid w:val="00F946E6"/>
    <w:rsid w:val="00F956A4"/>
    <w:rsid w:val="00F95EF6"/>
    <w:rsid w:val="00F965C5"/>
    <w:rsid w:val="00F96B64"/>
    <w:rsid w:val="00F97CF4"/>
    <w:rsid w:val="00FA04B2"/>
    <w:rsid w:val="00FA0726"/>
    <w:rsid w:val="00FA0A6F"/>
    <w:rsid w:val="00FA0A87"/>
    <w:rsid w:val="00FA0C9B"/>
    <w:rsid w:val="00FA0D43"/>
    <w:rsid w:val="00FA14E2"/>
    <w:rsid w:val="00FA1585"/>
    <w:rsid w:val="00FA1E7C"/>
    <w:rsid w:val="00FA1FA5"/>
    <w:rsid w:val="00FA1FB8"/>
    <w:rsid w:val="00FA2361"/>
    <w:rsid w:val="00FA2898"/>
    <w:rsid w:val="00FA2AAA"/>
    <w:rsid w:val="00FA318B"/>
    <w:rsid w:val="00FA35ED"/>
    <w:rsid w:val="00FA3A49"/>
    <w:rsid w:val="00FA3CE3"/>
    <w:rsid w:val="00FA3DBC"/>
    <w:rsid w:val="00FA3EB6"/>
    <w:rsid w:val="00FA4C74"/>
    <w:rsid w:val="00FA5552"/>
    <w:rsid w:val="00FA6566"/>
    <w:rsid w:val="00FA72B8"/>
    <w:rsid w:val="00FA72E6"/>
    <w:rsid w:val="00FB02CB"/>
    <w:rsid w:val="00FB06BA"/>
    <w:rsid w:val="00FB0CB0"/>
    <w:rsid w:val="00FB131B"/>
    <w:rsid w:val="00FB178F"/>
    <w:rsid w:val="00FB2C6D"/>
    <w:rsid w:val="00FB2F96"/>
    <w:rsid w:val="00FB3154"/>
    <w:rsid w:val="00FB3656"/>
    <w:rsid w:val="00FB39E4"/>
    <w:rsid w:val="00FB3CEF"/>
    <w:rsid w:val="00FB3F19"/>
    <w:rsid w:val="00FB4079"/>
    <w:rsid w:val="00FB4160"/>
    <w:rsid w:val="00FB4F8C"/>
    <w:rsid w:val="00FB5301"/>
    <w:rsid w:val="00FB5BFD"/>
    <w:rsid w:val="00FB5C37"/>
    <w:rsid w:val="00FB5CD1"/>
    <w:rsid w:val="00FB6205"/>
    <w:rsid w:val="00FB6662"/>
    <w:rsid w:val="00FB67B7"/>
    <w:rsid w:val="00FB6AB2"/>
    <w:rsid w:val="00FB6BE2"/>
    <w:rsid w:val="00FB6F62"/>
    <w:rsid w:val="00FB7419"/>
    <w:rsid w:val="00FB74D4"/>
    <w:rsid w:val="00FC0305"/>
    <w:rsid w:val="00FC1511"/>
    <w:rsid w:val="00FC18C4"/>
    <w:rsid w:val="00FC1BB1"/>
    <w:rsid w:val="00FC229A"/>
    <w:rsid w:val="00FC27B1"/>
    <w:rsid w:val="00FC2ABD"/>
    <w:rsid w:val="00FC36BE"/>
    <w:rsid w:val="00FC3EE4"/>
    <w:rsid w:val="00FC3FB6"/>
    <w:rsid w:val="00FC5A3C"/>
    <w:rsid w:val="00FC5CDD"/>
    <w:rsid w:val="00FC6596"/>
    <w:rsid w:val="00FC66D2"/>
    <w:rsid w:val="00FC6C48"/>
    <w:rsid w:val="00FC6D4C"/>
    <w:rsid w:val="00FD0222"/>
    <w:rsid w:val="00FD03C5"/>
    <w:rsid w:val="00FD0497"/>
    <w:rsid w:val="00FD0C4B"/>
    <w:rsid w:val="00FD171C"/>
    <w:rsid w:val="00FD1DC7"/>
    <w:rsid w:val="00FD28D4"/>
    <w:rsid w:val="00FD2B8A"/>
    <w:rsid w:val="00FD2F5C"/>
    <w:rsid w:val="00FD3560"/>
    <w:rsid w:val="00FD3D3D"/>
    <w:rsid w:val="00FD423C"/>
    <w:rsid w:val="00FD4424"/>
    <w:rsid w:val="00FD4D40"/>
    <w:rsid w:val="00FD4FCD"/>
    <w:rsid w:val="00FD5001"/>
    <w:rsid w:val="00FD507C"/>
    <w:rsid w:val="00FD589F"/>
    <w:rsid w:val="00FD5C0F"/>
    <w:rsid w:val="00FD61D6"/>
    <w:rsid w:val="00FD6A94"/>
    <w:rsid w:val="00FD6CF3"/>
    <w:rsid w:val="00FD73A9"/>
    <w:rsid w:val="00FD7827"/>
    <w:rsid w:val="00FD7B65"/>
    <w:rsid w:val="00FE0B64"/>
    <w:rsid w:val="00FE0C8E"/>
    <w:rsid w:val="00FE0CA1"/>
    <w:rsid w:val="00FE0EFF"/>
    <w:rsid w:val="00FE1860"/>
    <w:rsid w:val="00FE25A7"/>
    <w:rsid w:val="00FE2BDC"/>
    <w:rsid w:val="00FE2BFA"/>
    <w:rsid w:val="00FE2C1F"/>
    <w:rsid w:val="00FE2C71"/>
    <w:rsid w:val="00FE2D7F"/>
    <w:rsid w:val="00FE31EE"/>
    <w:rsid w:val="00FE3B87"/>
    <w:rsid w:val="00FE3DBE"/>
    <w:rsid w:val="00FE408D"/>
    <w:rsid w:val="00FE42FC"/>
    <w:rsid w:val="00FE4549"/>
    <w:rsid w:val="00FE4658"/>
    <w:rsid w:val="00FE498C"/>
    <w:rsid w:val="00FE589F"/>
    <w:rsid w:val="00FE5AA9"/>
    <w:rsid w:val="00FE5C4B"/>
    <w:rsid w:val="00FE5DAE"/>
    <w:rsid w:val="00FE5F63"/>
    <w:rsid w:val="00FE66DA"/>
    <w:rsid w:val="00FE6897"/>
    <w:rsid w:val="00FE6C71"/>
    <w:rsid w:val="00FE6D2D"/>
    <w:rsid w:val="00FE7393"/>
    <w:rsid w:val="00FE74BE"/>
    <w:rsid w:val="00FE7EA7"/>
    <w:rsid w:val="00FF0203"/>
    <w:rsid w:val="00FF08A9"/>
    <w:rsid w:val="00FF1161"/>
    <w:rsid w:val="00FF1479"/>
    <w:rsid w:val="00FF155A"/>
    <w:rsid w:val="00FF1742"/>
    <w:rsid w:val="00FF23E3"/>
    <w:rsid w:val="00FF2A22"/>
    <w:rsid w:val="00FF2E1B"/>
    <w:rsid w:val="00FF368A"/>
    <w:rsid w:val="00FF3BA5"/>
    <w:rsid w:val="00FF3DDB"/>
    <w:rsid w:val="00FF3E22"/>
    <w:rsid w:val="00FF4928"/>
    <w:rsid w:val="00FF5CB5"/>
    <w:rsid w:val="00FF62FD"/>
    <w:rsid w:val="00FF65F5"/>
    <w:rsid w:val="00FF67D4"/>
    <w:rsid w:val="00FF68B7"/>
    <w:rsid w:val="00FF6C06"/>
    <w:rsid w:val="00FF6E7A"/>
    <w:rsid w:val="00FF7395"/>
    <w:rsid w:val="00FF7412"/>
    <w:rsid w:val="00FF74B7"/>
    <w:rsid w:val="03FEB1EB"/>
    <w:rsid w:val="0C159C26"/>
    <w:rsid w:val="0CFE285A"/>
    <w:rsid w:val="120D980C"/>
    <w:rsid w:val="156BA66F"/>
    <w:rsid w:val="193815F7"/>
    <w:rsid w:val="1FB7BA79"/>
    <w:rsid w:val="2437378B"/>
    <w:rsid w:val="25E79BF8"/>
    <w:rsid w:val="28AB307A"/>
    <w:rsid w:val="2FD8399A"/>
    <w:rsid w:val="335D0893"/>
    <w:rsid w:val="34CB9D3F"/>
    <w:rsid w:val="35408D4D"/>
    <w:rsid w:val="35C2F37F"/>
    <w:rsid w:val="3671C528"/>
    <w:rsid w:val="3DE70529"/>
    <w:rsid w:val="3F513352"/>
    <w:rsid w:val="43D5AE0C"/>
    <w:rsid w:val="472B4004"/>
    <w:rsid w:val="4AF2169B"/>
    <w:rsid w:val="540788FA"/>
    <w:rsid w:val="573FF197"/>
    <w:rsid w:val="5ED0E957"/>
    <w:rsid w:val="6611278F"/>
    <w:rsid w:val="6AB9F002"/>
    <w:rsid w:val="6B2049D9"/>
    <w:rsid w:val="6EC70B57"/>
    <w:rsid w:val="708BD3AF"/>
    <w:rsid w:val="72356CDE"/>
    <w:rsid w:val="729BF661"/>
    <w:rsid w:val="7551D8A6"/>
    <w:rsid w:val="7A85C08D"/>
    <w:rsid w:val="7B833314"/>
    <w:rsid w:val="7DBE65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14:docId w14:val="39A96F9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502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autoRedefine/>
    <w:uiPriority w:val="1"/>
    <w:qFormat/>
    <w:rsid w:val="00656B53"/>
    <w:pPr>
      <w:keepNext/>
      <w:keepLines/>
      <w:numPr>
        <w:numId w:val="2"/>
      </w:numPr>
      <w:spacing w:before="240" w:line="259"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autoRedefine/>
    <w:uiPriority w:val="1"/>
    <w:unhideWhenUsed/>
    <w:qFormat/>
    <w:rsid w:val="008B490A"/>
    <w:pPr>
      <w:keepNext/>
      <w:keepLines/>
      <w:numPr>
        <w:ilvl w:val="1"/>
        <w:numId w:val="2"/>
      </w:numPr>
      <w:spacing w:before="40" w:line="259" w:lineRule="auto"/>
      <w:outlineLvl w:val="1"/>
    </w:pPr>
    <w:rPr>
      <w:rFonts w:asciiTheme="majorHAnsi" w:eastAsiaTheme="majorEastAsia" w:hAnsiTheme="majorHAnsi" w:cstheme="majorBidi"/>
      <w:bCs/>
      <w:color w:val="2F5496" w:themeColor="accent1" w:themeShade="BF"/>
      <w:sz w:val="26"/>
      <w:szCs w:val="26"/>
    </w:rPr>
  </w:style>
  <w:style w:type="paragraph" w:styleId="Heading3">
    <w:name w:val="heading 3"/>
    <w:basedOn w:val="Normal"/>
    <w:next w:val="Normal"/>
    <w:link w:val="Heading3Char"/>
    <w:uiPriority w:val="1"/>
    <w:unhideWhenUsed/>
    <w:qFormat/>
    <w:rsid w:val="00D905E2"/>
    <w:pPr>
      <w:keepNext/>
      <w:keepLines/>
      <w:numPr>
        <w:ilvl w:val="2"/>
        <w:numId w:val="2"/>
      </w:numPr>
      <w:spacing w:before="200" w:after="80" w:line="259" w:lineRule="auto"/>
      <w:outlineLvl w:val="2"/>
    </w:pPr>
    <w:rPr>
      <w:rFonts w:asciiTheme="majorHAnsi" w:hAnsiTheme="majorHAnsi" w:cstheme="majorBidi"/>
      <w:color w:val="1F3763" w:themeColor="accent1" w:themeShade="7F"/>
    </w:rPr>
  </w:style>
  <w:style w:type="paragraph" w:styleId="Heading4">
    <w:name w:val="heading 4"/>
    <w:basedOn w:val="Normal"/>
    <w:next w:val="Normal"/>
    <w:link w:val="Heading4Char"/>
    <w:uiPriority w:val="1"/>
    <w:unhideWhenUsed/>
    <w:qFormat/>
    <w:rsid w:val="00183BE7"/>
    <w:pPr>
      <w:keepNext/>
      <w:keepLines/>
      <w:numPr>
        <w:ilvl w:val="3"/>
        <w:numId w:val="2"/>
      </w:numPr>
      <w:spacing w:before="40" w:line="259" w:lineRule="auto"/>
      <w:outlineLvl w:val="3"/>
    </w:pPr>
    <w:rPr>
      <w:rFonts w:asciiTheme="majorHAnsi" w:eastAsiaTheme="majorEastAsia" w:hAnsiTheme="majorHAnsi" w:cstheme="majorBidi"/>
      <w:i/>
      <w:iCs/>
      <w:color w:val="2F5496" w:themeColor="accent1" w:themeShade="BF"/>
      <w:szCs w:val="22"/>
    </w:rPr>
  </w:style>
  <w:style w:type="paragraph" w:styleId="Heading5">
    <w:name w:val="heading 5"/>
    <w:basedOn w:val="Normal"/>
    <w:next w:val="Normal"/>
    <w:link w:val="Heading5Char"/>
    <w:uiPriority w:val="9"/>
    <w:unhideWhenUsed/>
    <w:qFormat/>
    <w:rsid w:val="00183BE7"/>
    <w:pPr>
      <w:keepNext/>
      <w:keepLines/>
      <w:numPr>
        <w:ilvl w:val="4"/>
        <w:numId w:val="2"/>
      </w:numPr>
      <w:spacing w:before="40" w:line="259" w:lineRule="auto"/>
      <w:outlineLvl w:val="4"/>
    </w:pPr>
    <w:rPr>
      <w:rFonts w:asciiTheme="majorHAnsi" w:eastAsiaTheme="majorEastAsia" w:hAnsiTheme="majorHAnsi" w:cstheme="majorBidi"/>
      <w:color w:val="2F5496" w:themeColor="accent1" w:themeShade="BF"/>
      <w:szCs w:val="22"/>
    </w:rPr>
  </w:style>
  <w:style w:type="paragraph" w:styleId="Heading6">
    <w:name w:val="heading 6"/>
    <w:basedOn w:val="Normal"/>
    <w:next w:val="Normal"/>
    <w:link w:val="Heading6Char"/>
    <w:uiPriority w:val="9"/>
    <w:unhideWhenUsed/>
    <w:qFormat/>
    <w:rsid w:val="00183BE7"/>
    <w:pPr>
      <w:keepNext/>
      <w:keepLines/>
      <w:numPr>
        <w:ilvl w:val="5"/>
        <w:numId w:val="2"/>
      </w:numPr>
      <w:spacing w:before="40" w:line="259" w:lineRule="auto"/>
      <w:outlineLvl w:val="5"/>
    </w:pPr>
    <w:rPr>
      <w:rFonts w:asciiTheme="majorHAnsi" w:eastAsiaTheme="majorEastAsia" w:hAnsiTheme="majorHAnsi" w:cstheme="majorBidi"/>
      <w:color w:val="1F3763" w:themeColor="accent1" w:themeShade="7F"/>
      <w:szCs w:val="22"/>
    </w:rPr>
  </w:style>
  <w:style w:type="paragraph" w:styleId="Heading7">
    <w:name w:val="heading 7"/>
    <w:basedOn w:val="Normal"/>
    <w:next w:val="Normal"/>
    <w:link w:val="Heading7Char"/>
    <w:uiPriority w:val="9"/>
    <w:semiHidden/>
    <w:unhideWhenUsed/>
    <w:qFormat/>
    <w:rsid w:val="00183BE7"/>
    <w:pPr>
      <w:keepNext/>
      <w:keepLines/>
      <w:numPr>
        <w:ilvl w:val="6"/>
        <w:numId w:val="2"/>
      </w:numPr>
      <w:spacing w:before="40" w:line="259" w:lineRule="auto"/>
      <w:outlineLvl w:val="6"/>
    </w:pPr>
    <w:rPr>
      <w:rFonts w:asciiTheme="majorHAnsi" w:eastAsiaTheme="majorEastAsia" w:hAnsiTheme="majorHAnsi" w:cstheme="majorBidi"/>
      <w:i/>
      <w:iCs/>
      <w:color w:val="1F3763" w:themeColor="accent1" w:themeShade="7F"/>
      <w:szCs w:val="22"/>
    </w:rPr>
  </w:style>
  <w:style w:type="paragraph" w:styleId="Heading8">
    <w:name w:val="heading 8"/>
    <w:basedOn w:val="Normal"/>
    <w:next w:val="Normal"/>
    <w:link w:val="Heading8Char"/>
    <w:uiPriority w:val="9"/>
    <w:semiHidden/>
    <w:unhideWhenUsed/>
    <w:qFormat/>
    <w:rsid w:val="00183BE7"/>
    <w:pPr>
      <w:keepNext/>
      <w:keepLines/>
      <w:numPr>
        <w:ilvl w:val="7"/>
        <w:numId w:val="2"/>
      </w:numPr>
      <w:spacing w:before="40" w:line="259" w:lineRule="auto"/>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83BE7"/>
    <w:pPr>
      <w:keepNext/>
      <w:keepLines/>
      <w:numPr>
        <w:ilvl w:val="8"/>
        <w:numId w:val="2"/>
      </w:numPr>
      <w:spacing w:before="40" w:line="259"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56B53"/>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1"/>
    <w:rsid w:val="008B490A"/>
    <w:rPr>
      <w:rFonts w:asciiTheme="majorHAnsi" w:eastAsiaTheme="majorEastAsia" w:hAnsiTheme="majorHAnsi" w:cstheme="majorBidi"/>
      <w:bCs/>
      <w:color w:val="2F5496" w:themeColor="accent1" w:themeShade="BF"/>
      <w:sz w:val="26"/>
      <w:szCs w:val="26"/>
    </w:rPr>
  </w:style>
  <w:style w:type="paragraph" w:customStyle="1" w:styleId="Default">
    <w:name w:val="Default"/>
    <w:autoRedefine/>
    <w:qFormat/>
    <w:rsid w:val="00A72945"/>
    <w:pPr>
      <w:tabs>
        <w:tab w:val="left" w:pos="8531"/>
      </w:tabs>
      <w:autoSpaceDE w:val="0"/>
      <w:autoSpaceDN w:val="0"/>
      <w:adjustRightInd w:val="0"/>
      <w:spacing w:line="240" w:lineRule="auto"/>
    </w:pPr>
    <w:rPr>
      <w:rFonts w:ascii="Times New Roman" w:hAnsi="Times New Roman" w:cs="Times New Roman"/>
      <w:color w:val="000000"/>
      <w:sz w:val="24"/>
      <w:szCs w:val="24"/>
    </w:rPr>
  </w:style>
  <w:style w:type="paragraph" w:styleId="Title">
    <w:name w:val="Title"/>
    <w:basedOn w:val="Normal"/>
    <w:next w:val="Normal"/>
    <w:link w:val="TitleChar"/>
    <w:uiPriority w:val="10"/>
    <w:qFormat/>
    <w:rsid w:val="005C2FD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C2F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C2FD4"/>
    <w:pPr>
      <w:numPr>
        <w:ilvl w:val="1"/>
      </w:numPr>
      <w:spacing w:after="160" w:line="259" w:lineRule="auto"/>
    </w:pPr>
    <w:rPr>
      <w:rFonts w:eastAsiaTheme="minorEastAsia" w:cstheme="minorBidi"/>
      <w:color w:val="5A5A5A" w:themeColor="text1" w:themeTint="A5"/>
      <w:spacing w:val="15"/>
      <w:szCs w:val="22"/>
    </w:rPr>
  </w:style>
  <w:style w:type="character" w:customStyle="1" w:styleId="SubtitleChar">
    <w:name w:val="Subtitle Char"/>
    <w:basedOn w:val="DefaultParagraphFont"/>
    <w:link w:val="Subtitle"/>
    <w:uiPriority w:val="11"/>
    <w:rsid w:val="005C2FD4"/>
    <w:rPr>
      <w:rFonts w:eastAsiaTheme="minorEastAsia"/>
      <w:color w:val="5A5A5A" w:themeColor="text1" w:themeTint="A5"/>
      <w:spacing w:val="15"/>
    </w:rPr>
  </w:style>
  <w:style w:type="paragraph" w:styleId="BalloonText">
    <w:name w:val="Balloon Text"/>
    <w:basedOn w:val="Normal"/>
    <w:link w:val="BalloonTextChar"/>
    <w:uiPriority w:val="99"/>
    <w:semiHidden/>
    <w:unhideWhenUsed/>
    <w:rsid w:val="005C2FD4"/>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5C2FD4"/>
    <w:rPr>
      <w:rFonts w:ascii="Segoe UI" w:hAnsi="Segoe UI" w:cs="Segoe UI"/>
      <w:sz w:val="18"/>
      <w:szCs w:val="18"/>
    </w:rPr>
  </w:style>
  <w:style w:type="character" w:customStyle="1" w:styleId="Heading3Char">
    <w:name w:val="Heading 3 Char"/>
    <w:basedOn w:val="DefaultParagraphFont"/>
    <w:link w:val="Heading3"/>
    <w:uiPriority w:val="1"/>
    <w:rsid w:val="00D905E2"/>
    <w:rPr>
      <w:rFonts w:asciiTheme="majorHAnsi" w:eastAsia="Times New Roman" w:hAnsiTheme="majorHAnsi" w:cstheme="majorBidi"/>
      <w:color w:val="1F3763" w:themeColor="accent1" w:themeShade="7F"/>
      <w:sz w:val="24"/>
      <w:szCs w:val="24"/>
    </w:rPr>
  </w:style>
  <w:style w:type="character" w:customStyle="1" w:styleId="Heading4Char">
    <w:name w:val="Heading 4 Char"/>
    <w:basedOn w:val="DefaultParagraphFont"/>
    <w:link w:val="Heading4"/>
    <w:uiPriority w:val="1"/>
    <w:rsid w:val="00183BE7"/>
    <w:rPr>
      <w:rFonts w:asciiTheme="majorHAnsi" w:eastAsiaTheme="majorEastAsia" w:hAnsiTheme="majorHAnsi" w:cstheme="majorBidi"/>
      <w:i/>
      <w:iCs/>
      <w:color w:val="2F5496" w:themeColor="accent1" w:themeShade="BF"/>
      <w:sz w:val="24"/>
    </w:rPr>
  </w:style>
  <w:style w:type="character" w:customStyle="1" w:styleId="Heading5Char">
    <w:name w:val="Heading 5 Char"/>
    <w:basedOn w:val="DefaultParagraphFont"/>
    <w:link w:val="Heading5"/>
    <w:uiPriority w:val="9"/>
    <w:rsid w:val="00183BE7"/>
    <w:rPr>
      <w:rFonts w:asciiTheme="majorHAnsi" w:eastAsiaTheme="majorEastAsia" w:hAnsiTheme="majorHAnsi" w:cstheme="majorBidi"/>
      <w:color w:val="2F5496" w:themeColor="accent1" w:themeShade="BF"/>
      <w:sz w:val="24"/>
    </w:rPr>
  </w:style>
  <w:style w:type="character" w:customStyle="1" w:styleId="Heading6Char">
    <w:name w:val="Heading 6 Char"/>
    <w:basedOn w:val="DefaultParagraphFont"/>
    <w:link w:val="Heading6"/>
    <w:uiPriority w:val="9"/>
    <w:rsid w:val="00183BE7"/>
    <w:rPr>
      <w:rFonts w:asciiTheme="majorHAnsi" w:eastAsiaTheme="majorEastAsia" w:hAnsiTheme="majorHAnsi" w:cstheme="majorBidi"/>
      <w:color w:val="1F3763" w:themeColor="accent1" w:themeShade="7F"/>
      <w:sz w:val="24"/>
    </w:rPr>
  </w:style>
  <w:style w:type="character" w:customStyle="1" w:styleId="Heading7Char">
    <w:name w:val="Heading 7 Char"/>
    <w:basedOn w:val="DefaultParagraphFont"/>
    <w:link w:val="Heading7"/>
    <w:uiPriority w:val="9"/>
    <w:semiHidden/>
    <w:rsid w:val="00183BE7"/>
    <w:rPr>
      <w:rFonts w:asciiTheme="majorHAnsi" w:eastAsiaTheme="majorEastAsia" w:hAnsiTheme="majorHAnsi" w:cstheme="majorBidi"/>
      <w:i/>
      <w:iCs/>
      <w:color w:val="1F3763" w:themeColor="accent1" w:themeShade="7F"/>
      <w:sz w:val="24"/>
    </w:rPr>
  </w:style>
  <w:style w:type="character" w:customStyle="1" w:styleId="Heading8Char">
    <w:name w:val="Heading 8 Char"/>
    <w:basedOn w:val="DefaultParagraphFont"/>
    <w:link w:val="Heading8"/>
    <w:uiPriority w:val="9"/>
    <w:semiHidden/>
    <w:rsid w:val="00183BE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183BE7"/>
    <w:rPr>
      <w:rFonts w:asciiTheme="majorHAnsi" w:eastAsiaTheme="majorEastAsia" w:hAnsiTheme="majorHAnsi" w:cstheme="majorBidi"/>
      <w:i/>
      <w:iCs/>
      <w:color w:val="272727" w:themeColor="text1" w:themeTint="D8"/>
      <w:sz w:val="21"/>
      <w:szCs w:val="21"/>
    </w:rPr>
  </w:style>
  <w:style w:type="paragraph" w:styleId="FootnoteText">
    <w:name w:val="footnote text"/>
    <w:aliases w:val="Footnote Text Char Char Char Char Char Char,Footnote Text Char Char Char Char Char Char Char Char Char Char,Footnote Text Char Char Char Char Char,PK Footnote Text,Footnote Text Char Char,Footnote Text Char Char Char"/>
    <w:basedOn w:val="Normal"/>
    <w:link w:val="FootnoteTextChar"/>
    <w:uiPriority w:val="99"/>
    <w:unhideWhenUsed/>
    <w:qFormat/>
    <w:rsid w:val="00C715FC"/>
    <w:rPr>
      <w:rFonts w:eastAsiaTheme="minorHAnsi" w:cstheme="minorBidi"/>
      <w:sz w:val="20"/>
      <w:szCs w:val="20"/>
    </w:rPr>
  </w:style>
  <w:style w:type="character" w:customStyle="1" w:styleId="FootnoteTextChar">
    <w:name w:val="Footnote Text Char"/>
    <w:aliases w:val="Footnote Text Char Char Char Char Char Char Char,Footnote Text Char Char Char Char Char Char Char Char Char Char Char,Footnote Text Char Char Char Char Char Char1,PK Footnote Text Char,Footnote Text Char Char Char1"/>
    <w:basedOn w:val="DefaultParagraphFont"/>
    <w:link w:val="FootnoteText"/>
    <w:uiPriority w:val="99"/>
    <w:rsid w:val="00C715FC"/>
    <w:rPr>
      <w:sz w:val="20"/>
      <w:szCs w:val="20"/>
    </w:rPr>
  </w:style>
  <w:style w:type="character" w:styleId="FootnoteReference">
    <w:name w:val="footnote reference"/>
    <w:basedOn w:val="DefaultParagraphFont"/>
    <w:uiPriority w:val="99"/>
    <w:unhideWhenUsed/>
    <w:rsid w:val="00C715FC"/>
    <w:rPr>
      <w:vertAlign w:val="superscript"/>
    </w:rPr>
  </w:style>
  <w:style w:type="paragraph" w:styleId="BodyText">
    <w:name w:val="Body Text"/>
    <w:basedOn w:val="Normal"/>
    <w:link w:val="BodyTextChar"/>
    <w:uiPriority w:val="1"/>
    <w:unhideWhenUsed/>
    <w:qFormat/>
    <w:rsid w:val="00C715FC"/>
    <w:pPr>
      <w:spacing w:after="120" w:line="259" w:lineRule="auto"/>
    </w:pPr>
    <w:rPr>
      <w:rFonts w:eastAsiaTheme="minorHAnsi" w:cstheme="minorBidi"/>
      <w:szCs w:val="22"/>
    </w:rPr>
  </w:style>
  <w:style w:type="character" w:customStyle="1" w:styleId="BodyTextChar">
    <w:name w:val="Body Text Char"/>
    <w:basedOn w:val="DefaultParagraphFont"/>
    <w:link w:val="BodyText"/>
    <w:uiPriority w:val="1"/>
    <w:rsid w:val="00C715FC"/>
  </w:style>
  <w:style w:type="paragraph" w:styleId="ListParagraph">
    <w:name w:val="List Paragraph"/>
    <w:basedOn w:val="Normal"/>
    <w:uiPriority w:val="34"/>
    <w:qFormat/>
    <w:rsid w:val="00044B3B"/>
    <w:pPr>
      <w:numPr>
        <w:numId w:val="1"/>
      </w:numPr>
      <w:shd w:val="clear" w:color="auto" w:fill="FFFFFF"/>
      <w:spacing w:before="60" w:after="60"/>
    </w:pPr>
    <w:rPr>
      <w:color w:val="202122"/>
    </w:rPr>
  </w:style>
  <w:style w:type="paragraph" w:styleId="CommentText">
    <w:name w:val="annotation text"/>
    <w:basedOn w:val="Normal"/>
    <w:link w:val="CommentTextChar"/>
    <w:uiPriority w:val="99"/>
    <w:unhideWhenUsed/>
    <w:rsid w:val="00C715FC"/>
    <w:pPr>
      <w:spacing w:after="160"/>
    </w:pPr>
    <w:rPr>
      <w:rFonts w:eastAsiaTheme="minorHAnsi" w:cstheme="minorBidi"/>
      <w:sz w:val="20"/>
      <w:szCs w:val="20"/>
    </w:rPr>
  </w:style>
  <w:style w:type="character" w:customStyle="1" w:styleId="CommentTextChar">
    <w:name w:val="Comment Text Char"/>
    <w:basedOn w:val="DefaultParagraphFont"/>
    <w:link w:val="CommentText"/>
    <w:uiPriority w:val="99"/>
    <w:rsid w:val="00C715FC"/>
    <w:rPr>
      <w:sz w:val="20"/>
      <w:szCs w:val="20"/>
    </w:rPr>
  </w:style>
  <w:style w:type="character" w:styleId="CommentReference">
    <w:name w:val="annotation reference"/>
    <w:basedOn w:val="DefaultParagraphFont"/>
    <w:uiPriority w:val="99"/>
    <w:unhideWhenUsed/>
    <w:rsid w:val="00C715FC"/>
    <w:rPr>
      <w:sz w:val="16"/>
      <w:szCs w:val="16"/>
    </w:rPr>
  </w:style>
  <w:style w:type="table" w:customStyle="1" w:styleId="TableGrid1">
    <w:name w:val="Table Grid1"/>
    <w:basedOn w:val="TableNormal"/>
    <w:next w:val="TableGrid"/>
    <w:uiPriority w:val="59"/>
    <w:rsid w:val="00C715F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C715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715FC"/>
    <w:pPr>
      <w:tabs>
        <w:tab w:val="center" w:pos="4680"/>
        <w:tab w:val="right" w:pos="9360"/>
      </w:tabs>
    </w:pPr>
    <w:rPr>
      <w:rFonts w:eastAsiaTheme="minorHAnsi" w:cstheme="minorBidi"/>
      <w:szCs w:val="22"/>
    </w:rPr>
  </w:style>
  <w:style w:type="character" w:customStyle="1" w:styleId="HeaderChar">
    <w:name w:val="Header Char"/>
    <w:basedOn w:val="DefaultParagraphFont"/>
    <w:link w:val="Header"/>
    <w:uiPriority w:val="99"/>
    <w:rsid w:val="00C715FC"/>
  </w:style>
  <w:style w:type="paragraph" w:styleId="Footer">
    <w:name w:val="footer"/>
    <w:basedOn w:val="Normal"/>
    <w:link w:val="FooterChar"/>
    <w:uiPriority w:val="99"/>
    <w:unhideWhenUsed/>
    <w:rsid w:val="00C715FC"/>
    <w:pPr>
      <w:tabs>
        <w:tab w:val="center" w:pos="4680"/>
        <w:tab w:val="right" w:pos="9360"/>
      </w:tabs>
    </w:pPr>
    <w:rPr>
      <w:rFonts w:eastAsiaTheme="minorHAnsi" w:cstheme="minorBidi"/>
      <w:szCs w:val="22"/>
    </w:rPr>
  </w:style>
  <w:style w:type="character" w:customStyle="1" w:styleId="FooterChar">
    <w:name w:val="Footer Char"/>
    <w:basedOn w:val="DefaultParagraphFont"/>
    <w:link w:val="Footer"/>
    <w:uiPriority w:val="99"/>
    <w:rsid w:val="00C715FC"/>
  </w:style>
  <w:style w:type="character" w:styleId="IntenseReference">
    <w:name w:val="Intense Reference"/>
    <w:basedOn w:val="DefaultParagraphFont"/>
    <w:uiPriority w:val="32"/>
    <w:qFormat/>
    <w:rsid w:val="009C2205"/>
    <w:rPr>
      <w:b/>
      <w:bCs/>
      <w:smallCaps/>
      <w:color w:val="4472C4" w:themeColor="accent1"/>
      <w:spacing w:val="5"/>
    </w:rPr>
  </w:style>
  <w:style w:type="table" w:customStyle="1" w:styleId="TableGrid11">
    <w:name w:val="Table Grid11"/>
    <w:basedOn w:val="TableNormal"/>
    <w:next w:val="TableGrid"/>
    <w:uiPriority w:val="59"/>
    <w:rsid w:val="00BA4B8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BA4B80"/>
    <w:rPr>
      <w:color w:val="0000FF"/>
      <w:u w:val="single"/>
    </w:rPr>
  </w:style>
  <w:style w:type="paragraph" w:styleId="TOCHeading">
    <w:name w:val="TOC Heading"/>
    <w:basedOn w:val="Heading1"/>
    <w:next w:val="Normal"/>
    <w:uiPriority w:val="39"/>
    <w:unhideWhenUsed/>
    <w:qFormat/>
    <w:rsid w:val="00037C62"/>
    <w:pPr>
      <w:numPr>
        <w:numId w:val="0"/>
      </w:numPr>
      <w:outlineLvl w:val="9"/>
    </w:pPr>
  </w:style>
  <w:style w:type="paragraph" w:styleId="TOC1">
    <w:name w:val="toc 1"/>
    <w:basedOn w:val="Normal"/>
    <w:next w:val="Normal"/>
    <w:autoRedefine/>
    <w:uiPriority w:val="39"/>
    <w:unhideWhenUsed/>
    <w:rsid w:val="00B40611"/>
    <w:pPr>
      <w:tabs>
        <w:tab w:val="left" w:pos="440"/>
        <w:tab w:val="right" w:leader="dot" w:pos="9350"/>
      </w:tabs>
    </w:pPr>
    <w:rPr>
      <w:rFonts w:asciiTheme="minorHAnsi" w:eastAsiaTheme="minorHAnsi" w:hAnsiTheme="minorHAnsi" w:cstheme="minorBidi"/>
      <w:sz w:val="22"/>
      <w:szCs w:val="22"/>
    </w:rPr>
  </w:style>
  <w:style w:type="paragraph" w:styleId="TOC2">
    <w:name w:val="toc 2"/>
    <w:basedOn w:val="Normal"/>
    <w:next w:val="Normal"/>
    <w:autoRedefine/>
    <w:uiPriority w:val="39"/>
    <w:unhideWhenUsed/>
    <w:rsid w:val="00BF79BD"/>
    <w:pPr>
      <w:spacing w:after="100" w:line="259" w:lineRule="auto"/>
      <w:ind w:left="220"/>
    </w:pPr>
    <w:rPr>
      <w:rFonts w:asciiTheme="minorHAnsi" w:eastAsiaTheme="minorHAnsi" w:hAnsiTheme="minorHAnsi" w:cstheme="minorBidi"/>
      <w:sz w:val="22"/>
      <w:szCs w:val="22"/>
    </w:rPr>
  </w:style>
  <w:style w:type="paragraph" w:styleId="TOC3">
    <w:name w:val="toc 3"/>
    <w:basedOn w:val="Normal"/>
    <w:next w:val="Normal"/>
    <w:autoRedefine/>
    <w:uiPriority w:val="39"/>
    <w:unhideWhenUsed/>
    <w:rsid w:val="00037C62"/>
    <w:pPr>
      <w:spacing w:after="100" w:line="259" w:lineRule="auto"/>
      <w:ind w:left="440"/>
    </w:pPr>
    <w:rPr>
      <w:rFonts w:eastAsiaTheme="minorHAnsi" w:cstheme="minorBidi"/>
      <w:szCs w:val="22"/>
    </w:rPr>
  </w:style>
  <w:style w:type="paragraph" w:styleId="NoSpacing">
    <w:name w:val="No Spacing"/>
    <w:uiPriority w:val="1"/>
    <w:qFormat/>
    <w:rsid w:val="00B434AD"/>
    <w:pPr>
      <w:spacing w:after="0" w:line="240" w:lineRule="auto"/>
    </w:pPr>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uiPriority w:val="99"/>
    <w:semiHidden/>
    <w:unhideWhenUsed/>
    <w:rsid w:val="00B434AD"/>
    <w:pPr>
      <w:spacing w:after="0"/>
    </w:pPr>
    <w:rPr>
      <w:rFonts w:eastAsia="Times New Roman" w:cs="Times New Roman"/>
      <w:b/>
      <w:bCs/>
    </w:rPr>
  </w:style>
  <w:style w:type="character" w:customStyle="1" w:styleId="CommentSubjectChar">
    <w:name w:val="Comment Subject Char"/>
    <w:basedOn w:val="CommentTextChar"/>
    <w:link w:val="CommentSubject"/>
    <w:uiPriority w:val="99"/>
    <w:semiHidden/>
    <w:rsid w:val="00B434AD"/>
    <w:rPr>
      <w:rFonts w:ascii="Times New Roman" w:eastAsia="Times New Roman" w:hAnsi="Times New Roman" w:cs="Times New Roman"/>
      <w:b/>
      <w:bCs/>
      <w:sz w:val="20"/>
      <w:szCs w:val="20"/>
    </w:rPr>
  </w:style>
  <w:style w:type="paragraph" w:styleId="NormalWeb">
    <w:name w:val="Normal (Web)"/>
    <w:basedOn w:val="Normal"/>
    <w:uiPriority w:val="99"/>
    <w:semiHidden/>
    <w:unhideWhenUsed/>
    <w:rsid w:val="00273207"/>
    <w:pPr>
      <w:spacing w:before="100" w:beforeAutospacing="1" w:after="100" w:afterAutospacing="1"/>
    </w:pPr>
  </w:style>
  <w:style w:type="character" w:styleId="BookTitle">
    <w:name w:val="Book Title"/>
    <w:basedOn w:val="DefaultParagraphFont"/>
    <w:uiPriority w:val="33"/>
    <w:qFormat/>
    <w:rsid w:val="0085689B"/>
    <w:rPr>
      <w:b/>
      <w:bCs/>
      <w:i/>
      <w:iCs/>
      <w:spacing w:val="5"/>
    </w:rPr>
  </w:style>
  <w:style w:type="paragraph" w:customStyle="1" w:styleId="FigTitle">
    <w:name w:val="FigTitle"/>
    <w:basedOn w:val="Normal"/>
    <w:autoRedefine/>
    <w:qFormat/>
    <w:rsid w:val="009403AC"/>
    <w:pPr>
      <w:spacing w:before="120" w:after="60"/>
      <w:contextualSpacing/>
    </w:pPr>
    <w:rPr>
      <w:b/>
      <w:bCs/>
    </w:rPr>
  </w:style>
  <w:style w:type="paragraph" w:customStyle="1" w:styleId="Indent">
    <w:name w:val="Indent"/>
    <w:basedOn w:val="Default"/>
    <w:qFormat/>
    <w:rsid w:val="00336E53"/>
    <w:pPr>
      <w:ind w:left="720"/>
    </w:pPr>
  </w:style>
  <w:style w:type="paragraph" w:styleId="Revision">
    <w:name w:val="Revision"/>
    <w:hidden/>
    <w:uiPriority w:val="99"/>
    <w:semiHidden/>
    <w:rsid w:val="00E934BA"/>
    <w:pPr>
      <w:spacing w:after="0" w:line="240" w:lineRule="auto"/>
    </w:pPr>
  </w:style>
  <w:style w:type="paragraph" w:customStyle="1" w:styleId="footnote">
    <w:name w:val="footnote"/>
    <w:basedOn w:val="Normal"/>
    <w:qFormat/>
    <w:rsid w:val="00164CEA"/>
    <w:pPr>
      <w:spacing w:after="160"/>
      <w:contextualSpacing/>
    </w:pPr>
    <w:rPr>
      <w:sz w:val="18"/>
      <w:szCs w:val="20"/>
    </w:rPr>
  </w:style>
  <w:style w:type="paragraph" w:customStyle="1" w:styleId="PageNumber1">
    <w:name w:val="Page Number1"/>
    <w:basedOn w:val="Default"/>
    <w:qFormat/>
    <w:rsid w:val="007D7C95"/>
    <w:pPr>
      <w:jc w:val="right"/>
    </w:pPr>
    <w:rPr>
      <w:sz w:val="20"/>
    </w:rPr>
  </w:style>
  <w:style w:type="character" w:styleId="SubtleEmphasis">
    <w:name w:val="Subtle Emphasis"/>
    <w:basedOn w:val="DefaultParagraphFont"/>
    <w:uiPriority w:val="19"/>
    <w:qFormat/>
    <w:rsid w:val="00D46481"/>
    <w:rPr>
      <w:i/>
      <w:iCs/>
      <w:color w:val="404040" w:themeColor="text1" w:themeTint="BF"/>
    </w:rPr>
  </w:style>
  <w:style w:type="character" w:styleId="Strong">
    <w:name w:val="Strong"/>
    <w:basedOn w:val="DefaultParagraphFont"/>
    <w:uiPriority w:val="22"/>
    <w:qFormat/>
    <w:rsid w:val="00117A23"/>
    <w:rPr>
      <w:b/>
      <w:bCs/>
    </w:rPr>
  </w:style>
  <w:style w:type="character" w:styleId="UnresolvedMention">
    <w:name w:val="Unresolved Mention"/>
    <w:basedOn w:val="DefaultParagraphFont"/>
    <w:uiPriority w:val="99"/>
    <w:semiHidden/>
    <w:unhideWhenUsed/>
    <w:rsid w:val="00CD5D9B"/>
    <w:rPr>
      <w:color w:val="605E5C"/>
      <w:shd w:val="clear" w:color="auto" w:fill="E1DFDD"/>
    </w:rPr>
  </w:style>
  <w:style w:type="character" w:styleId="Emphasis">
    <w:name w:val="Emphasis"/>
    <w:basedOn w:val="DefaultParagraphFont"/>
    <w:uiPriority w:val="20"/>
    <w:qFormat/>
    <w:rsid w:val="005D510D"/>
    <w:rPr>
      <w:i/>
      <w:iCs/>
    </w:rPr>
  </w:style>
  <w:style w:type="character" w:styleId="IntenseEmphasis">
    <w:name w:val="Intense Emphasis"/>
    <w:basedOn w:val="DefaultParagraphFont"/>
    <w:uiPriority w:val="21"/>
    <w:qFormat/>
    <w:rsid w:val="005D510D"/>
    <w:rPr>
      <w:i/>
      <w:iCs/>
      <w:color w:val="4472C4" w:themeColor="accent1"/>
    </w:rPr>
  </w:style>
  <w:style w:type="character" w:styleId="SubtleReference">
    <w:name w:val="Subtle Reference"/>
    <w:basedOn w:val="DefaultParagraphFont"/>
    <w:uiPriority w:val="31"/>
    <w:qFormat/>
    <w:rsid w:val="005D510D"/>
    <w:rPr>
      <w:smallCaps/>
      <w:color w:val="5A5A5A" w:themeColor="text1" w:themeTint="A5"/>
    </w:rPr>
  </w:style>
  <w:style w:type="paragraph" w:styleId="Quote">
    <w:name w:val="Quote"/>
    <w:basedOn w:val="Normal"/>
    <w:next w:val="Normal"/>
    <w:link w:val="QuoteChar"/>
    <w:uiPriority w:val="29"/>
    <w:qFormat/>
    <w:rsid w:val="00FA2361"/>
    <w:pPr>
      <w:spacing w:before="200" w:after="160" w:line="259" w:lineRule="auto"/>
      <w:ind w:left="864" w:right="864"/>
    </w:pPr>
    <w:rPr>
      <w:rFonts w:eastAsiaTheme="minorHAnsi" w:cstheme="minorBidi"/>
      <w:i/>
      <w:iCs/>
      <w:color w:val="404040" w:themeColor="text1" w:themeTint="BF"/>
      <w:szCs w:val="22"/>
    </w:rPr>
  </w:style>
  <w:style w:type="character" w:customStyle="1" w:styleId="QuoteChar">
    <w:name w:val="Quote Char"/>
    <w:basedOn w:val="DefaultParagraphFont"/>
    <w:link w:val="Quote"/>
    <w:uiPriority w:val="29"/>
    <w:rsid w:val="00FA2361"/>
    <w:rPr>
      <w:rFonts w:ascii="Times New Roman" w:hAnsi="Times New Roman"/>
      <w:i/>
      <w:iCs/>
      <w:color w:val="404040" w:themeColor="text1" w:themeTint="BF"/>
      <w:sz w:val="24"/>
    </w:rPr>
  </w:style>
  <w:style w:type="paragraph" w:styleId="IntenseQuote">
    <w:name w:val="Intense Quote"/>
    <w:basedOn w:val="Normal"/>
    <w:next w:val="Normal"/>
    <w:link w:val="IntenseQuoteChar"/>
    <w:uiPriority w:val="30"/>
    <w:qFormat/>
    <w:rsid w:val="00FA2361"/>
    <w:pPr>
      <w:pBdr>
        <w:top w:val="single" w:sz="4" w:space="10" w:color="4472C4" w:themeColor="accent1"/>
        <w:bottom w:val="single" w:sz="4" w:space="10" w:color="4472C4" w:themeColor="accent1"/>
      </w:pBdr>
      <w:spacing w:before="360" w:after="360" w:line="259" w:lineRule="auto"/>
      <w:ind w:left="864" w:right="864"/>
      <w:jc w:val="center"/>
    </w:pPr>
    <w:rPr>
      <w:rFonts w:eastAsiaTheme="minorHAnsi" w:cstheme="minorBidi"/>
      <w:i/>
      <w:iCs/>
      <w:color w:val="4472C4" w:themeColor="accent1"/>
      <w:szCs w:val="22"/>
    </w:rPr>
  </w:style>
  <w:style w:type="character" w:customStyle="1" w:styleId="IntenseQuoteChar">
    <w:name w:val="Intense Quote Char"/>
    <w:basedOn w:val="DefaultParagraphFont"/>
    <w:link w:val="IntenseQuote"/>
    <w:uiPriority w:val="30"/>
    <w:rsid w:val="00FA2361"/>
    <w:rPr>
      <w:rFonts w:ascii="Times New Roman" w:hAnsi="Times New Roman"/>
      <w:i/>
      <w:iCs/>
      <w:color w:val="4472C4" w:themeColor="accent1"/>
      <w:sz w:val="24"/>
    </w:rPr>
  </w:style>
  <w:style w:type="paragraph" w:styleId="Caption">
    <w:name w:val="caption"/>
    <w:basedOn w:val="Normal"/>
    <w:next w:val="Normal"/>
    <w:uiPriority w:val="35"/>
    <w:unhideWhenUsed/>
    <w:qFormat/>
    <w:rsid w:val="00C316AC"/>
    <w:pPr>
      <w:spacing w:after="200"/>
    </w:pPr>
    <w:rPr>
      <w:rFonts w:eastAsiaTheme="minorHAnsi" w:cstheme="minorBidi"/>
      <w:i/>
      <w:iCs/>
      <w:color w:val="44546A" w:themeColor="text2"/>
      <w:sz w:val="18"/>
      <w:szCs w:val="18"/>
    </w:rPr>
  </w:style>
  <w:style w:type="paragraph" w:customStyle="1" w:styleId="msonormal0">
    <w:name w:val="msonormal"/>
    <w:basedOn w:val="Normal"/>
    <w:rsid w:val="005308AE"/>
    <w:pPr>
      <w:spacing w:before="100" w:beforeAutospacing="1" w:after="100" w:afterAutospacing="1"/>
    </w:pPr>
  </w:style>
  <w:style w:type="paragraph" w:customStyle="1" w:styleId="TableParagraph">
    <w:name w:val="Table Paragraph"/>
    <w:basedOn w:val="Normal"/>
    <w:uiPriority w:val="1"/>
    <w:qFormat/>
    <w:rsid w:val="00CC3F47"/>
    <w:pPr>
      <w:autoSpaceDE w:val="0"/>
      <w:autoSpaceDN w:val="0"/>
      <w:adjustRightInd w:val="0"/>
      <w:spacing w:before="30" w:line="249" w:lineRule="exact"/>
      <w:jc w:val="center"/>
    </w:pPr>
    <w:rPr>
      <w:rFonts w:eastAsiaTheme="minorHAnsi" w:cs="Calibri"/>
      <w:sz w:val="20"/>
    </w:rPr>
  </w:style>
  <w:style w:type="paragraph" w:customStyle="1" w:styleId="TableReferenceCaption">
    <w:name w:val="TableReferenceCaption"/>
    <w:basedOn w:val="Caption"/>
    <w:qFormat/>
    <w:rsid w:val="009D526D"/>
    <w:pPr>
      <w:spacing w:after="0"/>
      <w:ind w:left="180"/>
    </w:pPr>
    <w:rPr>
      <w:i w:val="0"/>
      <w:iCs w:val="0"/>
    </w:rPr>
  </w:style>
  <w:style w:type="paragraph" w:customStyle="1" w:styleId="SubSub-Section-DS">
    <w:name w:val="SubSub-Section-DS"/>
    <w:basedOn w:val="Normal"/>
    <w:qFormat/>
    <w:rsid w:val="009A0367"/>
    <w:pPr>
      <w:spacing w:after="60" w:line="259" w:lineRule="auto"/>
    </w:pPr>
    <w:rPr>
      <w:rFonts w:eastAsiaTheme="minorHAnsi" w:cstheme="minorBidi"/>
      <w:i/>
      <w:iCs/>
      <w:szCs w:val="22"/>
      <w:u w:val="single"/>
    </w:rPr>
  </w:style>
  <w:style w:type="table" w:customStyle="1" w:styleId="TableGrid12">
    <w:name w:val="Table Grid12"/>
    <w:basedOn w:val="TableNormal"/>
    <w:next w:val="TableGrid"/>
    <w:uiPriority w:val="59"/>
    <w:rsid w:val="008B55F5"/>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8B55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8B55F5"/>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basedOn w:val="DefaultParagraphFont"/>
    <w:uiPriority w:val="99"/>
    <w:semiHidden/>
    <w:unhideWhenUsed/>
    <w:rsid w:val="0005462D"/>
    <w:rPr>
      <w:color w:val="954F72" w:themeColor="followedHyperlink"/>
      <w:u w:val="single"/>
    </w:rPr>
  </w:style>
  <w:style w:type="character" w:customStyle="1" w:styleId="normaltextrun">
    <w:name w:val="normaltextrun"/>
    <w:basedOn w:val="DefaultParagraphFont"/>
    <w:rsid w:val="00201F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21213">
      <w:bodyDiv w:val="1"/>
      <w:marLeft w:val="0"/>
      <w:marRight w:val="0"/>
      <w:marTop w:val="0"/>
      <w:marBottom w:val="0"/>
      <w:divBdr>
        <w:top w:val="none" w:sz="0" w:space="0" w:color="auto"/>
        <w:left w:val="none" w:sz="0" w:space="0" w:color="auto"/>
        <w:bottom w:val="none" w:sz="0" w:space="0" w:color="auto"/>
        <w:right w:val="none" w:sz="0" w:space="0" w:color="auto"/>
      </w:divBdr>
    </w:div>
    <w:div w:id="270364300">
      <w:bodyDiv w:val="1"/>
      <w:marLeft w:val="0"/>
      <w:marRight w:val="0"/>
      <w:marTop w:val="0"/>
      <w:marBottom w:val="0"/>
      <w:divBdr>
        <w:top w:val="none" w:sz="0" w:space="0" w:color="auto"/>
        <w:left w:val="none" w:sz="0" w:space="0" w:color="auto"/>
        <w:bottom w:val="none" w:sz="0" w:space="0" w:color="auto"/>
        <w:right w:val="none" w:sz="0" w:space="0" w:color="auto"/>
      </w:divBdr>
    </w:div>
    <w:div w:id="273447254">
      <w:bodyDiv w:val="1"/>
      <w:marLeft w:val="0"/>
      <w:marRight w:val="0"/>
      <w:marTop w:val="0"/>
      <w:marBottom w:val="0"/>
      <w:divBdr>
        <w:top w:val="none" w:sz="0" w:space="0" w:color="auto"/>
        <w:left w:val="none" w:sz="0" w:space="0" w:color="auto"/>
        <w:bottom w:val="none" w:sz="0" w:space="0" w:color="auto"/>
        <w:right w:val="none" w:sz="0" w:space="0" w:color="auto"/>
      </w:divBdr>
    </w:div>
    <w:div w:id="340668952">
      <w:bodyDiv w:val="1"/>
      <w:marLeft w:val="0"/>
      <w:marRight w:val="0"/>
      <w:marTop w:val="0"/>
      <w:marBottom w:val="0"/>
      <w:divBdr>
        <w:top w:val="none" w:sz="0" w:space="0" w:color="auto"/>
        <w:left w:val="none" w:sz="0" w:space="0" w:color="auto"/>
        <w:bottom w:val="none" w:sz="0" w:space="0" w:color="auto"/>
        <w:right w:val="none" w:sz="0" w:space="0" w:color="auto"/>
      </w:divBdr>
    </w:div>
    <w:div w:id="488643863">
      <w:bodyDiv w:val="1"/>
      <w:marLeft w:val="0"/>
      <w:marRight w:val="0"/>
      <w:marTop w:val="0"/>
      <w:marBottom w:val="0"/>
      <w:divBdr>
        <w:top w:val="none" w:sz="0" w:space="0" w:color="auto"/>
        <w:left w:val="none" w:sz="0" w:space="0" w:color="auto"/>
        <w:bottom w:val="none" w:sz="0" w:space="0" w:color="auto"/>
        <w:right w:val="none" w:sz="0" w:space="0" w:color="auto"/>
      </w:divBdr>
    </w:div>
    <w:div w:id="633365469">
      <w:bodyDiv w:val="1"/>
      <w:marLeft w:val="0"/>
      <w:marRight w:val="0"/>
      <w:marTop w:val="0"/>
      <w:marBottom w:val="0"/>
      <w:divBdr>
        <w:top w:val="none" w:sz="0" w:space="0" w:color="auto"/>
        <w:left w:val="none" w:sz="0" w:space="0" w:color="auto"/>
        <w:bottom w:val="none" w:sz="0" w:space="0" w:color="auto"/>
        <w:right w:val="none" w:sz="0" w:space="0" w:color="auto"/>
      </w:divBdr>
    </w:div>
    <w:div w:id="639120168">
      <w:bodyDiv w:val="1"/>
      <w:marLeft w:val="0"/>
      <w:marRight w:val="0"/>
      <w:marTop w:val="0"/>
      <w:marBottom w:val="0"/>
      <w:divBdr>
        <w:top w:val="none" w:sz="0" w:space="0" w:color="auto"/>
        <w:left w:val="none" w:sz="0" w:space="0" w:color="auto"/>
        <w:bottom w:val="none" w:sz="0" w:space="0" w:color="auto"/>
        <w:right w:val="none" w:sz="0" w:space="0" w:color="auto"/>
      </w:divBdr>
    </w:div>
    <w:div w:id="662859539">
      <w:bodyDiv w:val="1"/>
      <w:marLeft w:val="0"/>
      <w:marRight w:val="0"/>
      <w:marTop w:val="0"/>
      <w:marBottom w:val="0"/>
      <w:divBdr>
        <w:top w:val="none" w:sz="0" w:space="0" w:color="auto"/>
        <w:left w:val="none" w:sz="0" w:space="0" w:color="auto"/>
        <w:bottom w:val="none" w:sz="0" w:space="0" w:color="auto"/>
        <w:right w:val="none" w:sz="0" w:space="0" w:color="auto"/>
      </w:divBdr>
    </w:div>
    <w:div w:id="867180106">
      <w:bodyDiv w:val="1"/>
      <w:marLeft w:val="0"/>
      <w:marRight w:val="0"/>
      <w:marTop w:val="0"/>
      <w:marBottom w:val="0"/>
      <w:divBdr>
        <w:top w:val="none" w:sz="0" w:space="0" w:color="auto"/>
        <w:left w:val="none" w:sz="0" w:space="0" w:color="auto"/>
        <w:bottom w:val="none" w:sz="0" w:space="0" w:color="auto"/>
        <w:right w:val="none" w:sz="0" w:space="0" w:color="auto"/>
      </w:divBdr>
    </w:div>
    <w:div w:id="909582026">
      <w:bodyDiv w:val="1"/>
      <w:marLeft w:val="0"/>
      <w:marRight w:val="0"/>
      <w:marTop w:val="0"/>
      <w:marBottom w:val="0"/>
      <w:divBdr>
        <w:top w:val="none" w:sz="0" w:space="0" w:color="auto"/>
        <w:left w:val="none" w:sz="0" w:space="0" w:color="auto"/>
        <w:bottom w:val="none" w:sz="0" w:space="0" w:color="auto"/>
        <w:right w:val="none" w:sz="0" w:space="0" w:color="auto"/>
      </w:divBdr>
    </w:div>
    <w:div w:id="998076883">
      <w:bodyDiv w:val="1"/>
      <w:marLeft w:val="0"/>
      <w:marRight w:val="0"/>
      <w:marTop w:val="0"/>
      <w:marBottom w:val="0"/>
      <w:divBdr>
        <w:top w:val="none" w:sz="0" w:space="0" w:color="auto"/>
        <w:left w:val="none" w:sz="0" w:space="0" w:color="auto"/>
        <w:bottom w:val="none" w:sz="0" w:space="0" w:color="auto"/>
        <w:right w:val="none" w:sz="0" w:space="0" w:color="auto"/>
      </w:divBdr>
    </w:div>
    <w:div w:id="1155494063">
      <w:bodyDiv w:val="1"/>
      <w:marLeft w:val="0"/>
      <w:marRight w:val="0"/>
      <w:marTop w:val="0"/>
      <w:marBottom w:val="0"/>
      <w:divBdr>
        <w:top w:val="none" w:sz="0" w:space="0" w:color="auto"/>
        <w:left w:val="none" w:sz="0" w:space="0" w:color="auto"/>
        <w:bottom w:val="none" w:sz="0" w:space="0" w:color="auto"/>
        <w:right w:val="none" w:sz="0" w:space="0" w:color="auto"/>
      </w:divBdr>
    </w:div>
    <w:div w:id="1274939394">
      <w:bodyDiv w:val="1"/>
      <w:marLeft w:val="0"/>
      <w:marRight w:val="0"/>
      <w:marTop w:val="0"/>
      <w:marBottom w:val="0"/>
      <w:divBdr>
        <w:top w:val="none" w:sz="0" w:space="0" w:color="auto"/>
        <w:left w:val="none" w:sz="0" w:space="0" w:color="auto"/>
        <w:bottom w:val="none" w:sz="0" w:space="0" w:color="auto"/>
        <w:right w:val="none" w:sz="0" w:space="0" w:color="auto"/>
      </w:divBdr>
    </w:div>
    <w:div w:id="1343585947">
      <w:bodyDiv w:val="1"/>
      <w:marLeft w:val="0"/>
      <w:marRight w:val="0"/>
      <w:marTop w:val="0"/>
      <w:marBottom w:val="0"/>
      <w:divBdr>
        <w:top w:val="none" w:sz="0" w:space="0" w:color="auto"/>
        <w:left w:val="none" w:sz="0" w:space="0" w:color="auto"/>
        <w:bottom w:val="none" w:sz="0" w:space="0" w:color="auto"/>
        <w:right w:val="none" w:sz="0" w:space="0" w:color="auto"/>
      </w:divBdr>
    </w:div>
    <w:div w:id="1355575928">
      <w:bodyDiv w:val="1"/>
      <w:marLeft w:val="0"/>
      <w:marRight w:val="0"/>
      <w:marTop w:val="0"/>
      <w:marBottom w:val="0"/>
      <w:divBdr>
        <w:top w:val="none" w:sz="0" w:space="0" w:color="auto"/>
        <w:left w:val="none" w:sz="0" w:space="0" w:color="auto"/>
        <w:bottom w:val="none" w:sz="0" w:space="0" w:color="auto"/>
        <w:right w:val="none" w:sz="0" w:space="0" w:color="auto"/>
      </w:divBdr>
    </w:div>
    <w:div w:id="1364866344">
      <w:bodyDiv w:val="1"/>
      <w:marLeft w:val="0"/>
      <w:marRight w:val="0"/>
      <w:marTop w:val="0"/>
      <w:marBottom w:val="0"/>
      <w:divBdr>
        <w:top w:val="none" w:sz="0" w:space="0" w:color="auto"/>
        <w:left w:val="none" w:sz="0" w:space="0" w:color="auto"/>
        <w:bottom w:val="none" w:sz="0" w:space="0" w:color="auto"/>
        <w:right w:val="none" w:sz="0" w:space="0" w:color="auto"/>
      </w:divBdr>
    </w:div>
    <w:div w:id="1427921025">
      <w:bodyDiv w:val="1"/>
      <w:marLeft w:val="0"/>
      <w:marRight w:val="0"/>
      <w:marTop w:val="0"/>
      <w:marBottom w:val="0"/>
      <w:divBdr>
        <w:top w:val="none" w:sz="0" w:space="0" w:color="auto"/>
        <w:left w:val="none" w:sz="0" w:space="0" w:color="auto"/>
        <w:bottom w:val="none" w:sz="0" w:space="0" w:color="auto"/>
        <w:right w:val="none" w:sz="0" w:space="0" w:color="auto"/>
      </w:divBdr>
      <w:divsChild>
        <w:div w:id="46682854">
          <w:marLeft w:val="0"/>
          <w:marRight w:val="0"/>
          <w:marTop w:val="0"/>
          <w:marBottom w:val="0"/>
          <w:divBdr>
            <w:top w:val="none" w:sz="0" w:space="0" w:color="auto"/>
            <w:left w:val="none" w:sz="0" w:space="0" w:color="auto"/>
            <w:bottom w:val="none" w:sz="0" w:space="0" w:color="auto"/>
            <w:right w:val="none" w:sz="0" w:space="0" w:color="auto"/>
          </w:divBdr>
        </w:div>
        <w:div w:id="93943433">
          <w:marLeft w:val="0"/>
          <w:marRight w:val="0"/>
          <w:marTop w:val="0"/>
          <w:marBottom w:val="0"/>
          <w:divBdr>
            <w:top w:val="none" w:sz="0" w:space="0" w:color="auto"/>
            <w:left w:val="none" w:sz="0" w:space="0" w:color="auto"/>
            <w:bottom w:val="none" w:sz="0" w:space="0" w:color="auto"/>
            <w:right w:val="none" w:sz="0" w:space="0" w:color="auto"/>
          </w:divBdr>
        </w:div>
        <w:div w:id="538400564">
          <w:marLeft w:val="0"/>
          <w:marRight w:val="0"/>
          <w:marTop w:val="0"/>
          <w:marBottom w:val="0"/>
          <w:divBdr>
            <w:top w:val="none" w:sz="0" w:space="0" w:color="auto"/>
            <w:left w:val="none" w:sz="0" w:space="0" w:color="auto"/>
            <w:bottom w:val="none" w:sz="0" w:space="0" w:color="auto"/>
            <w:right w:val="none" w:sz="0" w:space="0" w:color="auto"/>
          </w:divBdr>
        </w:div>
        <w:div w:id="985862304">
          <w:marLeft w:val="0"/>
          <w:marRight w:val="0"/>
          <w:marTop w:val="0"/>
          <w:marBottom w:val="0"/>
          <w:divBdr>
            <w:top w:val="none" w:sz="0" w:space="0" w:color="auto"/>
            <w:left w:val="none" w:sz="0" w:space="0" w:color="auto"/>
            <w:bottom w:val="none" w:sz="0" w:space="0" w:color="auto"/>
            <w:right w:val="none" w:sz="0" w:space="0" w:color="auto"/>
          </w:divBdr>
          <w:divsChild>
            <w:div w:id="1178471596">
              <w:marLeft w:val="0"/>
              <w:marRight w:val="0"/>
              <w:marTop w:val="0"/>
              <w:marBottom w:val="0"/>
              <w:divBdr>
                <w:top w:val="none" w:sz="0" w:space="0" w:color="auto"/>
                <w:left w:val="none" w:sz="0" w:space="0" w:color="auto"/>
                <w:bottom w:val="none" w:sz="0" w:space="0" w:color="auto"/>
                <w:right w:val="none" w:sz="0" w:space="0" w:color="auto"/>
              </w:divBdr>
            </w:div>
          </w:divsChild>
        </w:div>
        <w:div w:id="1711491495">
          <w:marLeft w:val="0"/>
          <w:marRight w:val="0"/>
          <w:marTop w:val="0"/>
          <w:marBottom w:val="0"/>
          <w:divBdr>
            <w:top w:val="none" w:sz="0" w:space="0" w:color="auto"/>
            <w:left w:val="none" w:sz="0" w:space="0" w:color="auto"/>
            <w:bottom w:val="none" w:sz="0" w:space="0" w:color="auto"/>
            <w:right w:val="none" w:sz="0" w:space="0" w:color="auto"/>
          </w:divBdr>
        </w:div>
      </w:divsChild>
    </w:div>
    <w:div w:id="17550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pa.gov/sites/default/files/2018-05/documents/attachment_5-5_dsi_cost_development_methodology.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093E8F7BF98640A0B476AB00A11CED" ma:contentTypeVersion="16" ma:contentTypeDescription="Create a new document." ma:contentTypeScope="" ma:versionID="fa998b2467659c2ff89a285b7f9a6de1">
  <xsd:schema xmlns:xsd="http://www.w3.org/2001/XMLSchema" xmlns:xs="http://www.w3.org/2001/XMLSchema" xmlns:p="http://schemas.microsoft.com/office/2006/metadata/properties" xmlns:ns1="http://schemas.microsoft.com/sharepoint/v3" xmlns:ns2="57a8db90-571c-4dc3-8a43-016e5d26abab" xmlns:ns3="a61383b9-f61d-4814-b4b0-5bc4f7ddeb55" xmlns:ns4="31062a0d-ede8-4112-b4bb-00a9c1bc8e16" targetNamespace="http://schemas.microsoft.com/office/2006/metadata/properties" ma:root="true" ma:fieldsID="5778e7fc0f19114e01225581bd892aab" ns1:_="" ns2:_="" ns3:_="" ns4:_="">
    <xsd:import namespace="http://schemas.microsoft.com/sharepoint/v3"/>
    <xsd:import namespace="57a8db90-571c-4dc3-8a43-016e5d26abab"/>
    <xsd:import namespace="a61383b9-f61d-4814-b4b0-5bc4f7ddeb55"/>
    <xsd:import namespace="31062a0d-ede8-4112-b4bb-00a9c1bc8e16"/>
    <xsd:element name="properties">
      <xsd:complexType>
        <xsd:sequence>
          <xsd:element name="documentManagement">
            <xsd:complexType>
              <xsd:all>
                <xsd:element ref="ns2:Description" minOccurs="0"/>
                <xsd:element ref="ns2:MediaServiceMetadata" minOccurs="0"/>
                <xsd:element ref="ns2:MediaServiceFastMetadata" minOccurs="0"/>
                <xsd:element ref="ns3:SharedWithUsers" minOccurs="0"/>
                <xsd:element ref="ns3:SharedWithDetails" minOccurs="0"/>
                <xsd:element ref="ns1:_ip_UnifiedCompliancePolicyProperties" minOccurs="0"/>
                <xsd:element ref="ns1:_ip_UnifiedCompliancePolicyUIAction"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Unified Compliance Policy Properties" ma:hidden="true" ma:internalName="_ip_UnifiedCompliancePolicyProperties">
      <xsd:simpleType>
        <xsd:restriction base="dms:Note"/>
      </xsd:simpleType>
    </xsd:element>
    <xsd:element name="_ip_UnifiedCompliancePolicyUIAction" ma:index="1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a8db90-571c-4dc3-8a43-016e5d26abab" elementFormDefault="qualified">
    <xsd:import namespace="http://schemas.microsoft.com/office/2006/documentManagement/types"/>
    <xsd:import namespace="http://schemas.microsoft.com/office/infopath/2007/PartnerControls"/>
    <xsd:element name="Description" ma:index="8" nillable="true" ma:displayName="Description" ma:format="Dropdown" ma:internalName="Description">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c5df3ad-b4e5-45d1-88c9-23db5f1fe61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1383b9-f61d-4814-b4b0-5bc4f7ddeb5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062a0d-ede8-4112-b4bb-00a9c1bc8e16"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5338247a-d2b7-40d8-a682-8eee7e254a59}" ma:internalName="TaxCatchAll" ma:showField="CatchAllData" ma:web="a61383b9-f61d-4814-b4b0-5bc4f7ddeb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Description xmlns="57a8db90-571c-4dc3-8a43-016e5d26abab" xsi:nil="true"/>
    <_ip_UnifiedCompliancePolicyProperties xmlns="http://schemas.microsoft.com/sharepoint/v3" xsi:nil="true"/>
    <SharedWithUsers xmlns="a61383b9-f61d-4814-b4b0-5bc4f7ddeb55">
      <UserInfo>
        <DisplayName/>
        <AccountId xsi:nil="true"/>
        <AccountType/>
      </UserInfo>
    </SharedWithUsers>
    <lcf76f155ced4ddcb4097134ff3c332f xmlns="57a8db90-571c-4dc3-8a43-016e5d26abab">
      <Terms xmlns="http://schemas.microsoft.com/office/infopath/2007/PartnerControls"/>
    </lcf76f155ced4ddcb4097134ff3c332f>
    <TaxCatchAll xmlns="31062a0d-ede8-4112-b4bb-00a9c1bc8e1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DB75F-5905-4865-88D6-27DA2BCE4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7a8db90-571c-4dc3-8a43-016e5d26abab"/>
    <ds:schemaRef ds:uri="a61383b9-f61d-4814-b4b0-5bc4f7ddeb55"/>
    <ds:schemaRef ds:uri="31062a0d-ede8-4112-b4bb-00a9c1bc8e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BAA90D-E261-4D60-B136-E8832B51B4D1}">
  <ds:schemaRefs>
    <ds:schemaRef ds:uri="http://schemas.microsoft.com/sharepoint/v3/contenttype/forms"/>
  </ds:schemaRefs>
</ds:datastoreItem>
</file>

<file path=customXml/itemProps3.xml><?xml version="1.0" encoding="utf-8"?>
<ds:datastoreItem xmlns:ds="http://schemas.openxmlformats.org/officeDocument/2006/customXml" ds:itemID="{F48B501D-E8BD-476C-99CA-03D18C368302}">
  <ds:schemaRefs>
    <ds:schemaRef ds:uri="http://schemas.openxmlformats.org/package/2006/metadata/core-properties"/>
    <ds:schemaRef ds:uri="http://schemas.microsoft.com/sharepoint/v3"/>
    <ds:schemaRef ds:uri="http://purl.org/dc/dcmitype/"/>
    <ds:schemaRef ds:uri="57a8db90-571c-4dc3-8a43-016e5d26abab"/>
    <ds:schemaRef ds:uri="http://schemas.microsoft.com/office/2006/documentManagement/types"/>
    <ds:schemaRef ds:uri="http://purl.org/dc/elements/1.1/"/>
    <ds:schemaRef ds:uri="31062a0d-ede8-4112-b4bb-00a9c1bc8e16"/>
    <ds:schemaRef ds:uri="http://schemas.microsoft.com/office/infopath/2007/PartnerControls"/>
    <ds:schemaRef ds:uri="http://schemas.microsoft.com/office/2006/metadata/properties"/>
    <ds:schemaRef ds:uri="a61383b9-f61d-4814-b4b0-5bc4f7ddeb55"/>
    <ds:schemaRef ds:uri="http://www.w3.org/XML/1998/namespace"/>
    <ds:schemaRef ds:uri="http://purl.org/dc/terms/"/>
  </ds:schemaRefs>
</ds:datastoreItem>
</file>

<file path=customXml/itemProps4.xml><?xml version="1.0" encoding="utf-8"?>
<ds:datastoreItem xmlns:ds="http://schemas.openxmlformats.org/officeDocument/2006/customXml" ds:itemID="{A0CD9640-2940-45CB-89E9-288FF712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3360</Words>
  <Characters>19154</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NPS Technical Feedback for Nevada</vt:lpstr>
    </vt:vector>
  </TitlesOfParts>
  <Manager/>
  <Company/>
  <LinksUpToDate>false</LinksUpToDate>
  <CharactersWithSpaces>22470</CharactersWithSpaces>
  <SharedDoc>false</SharedDoc>
  <HLinks>
    <vt:vector size="54" baseType="variant">
      <vt:variant>
        <vt:i4>1900604</vt:i4>
      </vt:variant>
      <vt:variant>
        <vt:i4>44</vt:i4>
      </vt:variant>
      <vt:variant>
        <vt:i4>0</vt:i4>
      </vt:variant>
      <vt:variant>
        <vt:i4>5</vt:i4>
      </vt:variant>
      <vt:variant>
        <vt:lpwstr/>
      </vt:variant>
      <vt:variant>
        <vt:lpwstr>_Toc109058123</vt:lpwstr>
      </vt:variant>
      <vt:variant>
        <vt:i4>1900604</vt:i4>
      </vt:variant>
      <vt:variant>
        <vt:i4>38</vt:i4>
      </vt:variant>
      <vt:variant>
        <vt:i4>0</vt:i4>
      </vt:variant>
      <vt:variant>
        <vt:i4>5</vt:i4>
      </vt:variant>
      <vt:variant>
        <vt:lpwstr/>
      </vt:variant>
      <vt:variant>
        <vt:lpwstr>_Toc109058122</vt:lpwstr>
      </vt:variant>
      <vt:variant>
        <vt:i4>1900604</vt:i4>
      </vt:variant>
      <vt:variant>
        <vt:i4>32</vt:i4>
      </vt:variant>
      <vt:variant>
        <vt:i4>0</vt:i4>
      </vt:variant>
      <vt:variant>
        <vt:i4>5</vt:i4>
      </vt:variant>
      <vt:variant>
        <vt:lpwstr/>
      </vt:variant>
      <vt:variant>
        <vt:lpwstr>_Toc109058121</vt:lpwstr>
      </vt:variant>
      <vt:variant>
        <vt:i4>1900604</vt:i4>
      </vt:variant>
      <vt:variant>
        <vt:i4>26</vt:i4>
      </vt:variant>
      <vt:variant>
        <vt:i4>0</vt:i4>
      </vt:variant>
      <vt:variant>
        <vt:i4>5</vt:i4>
      </vt:variant>
      <vt:variant>
        <vt:lpwstr/>
      </vt:variant>
      <vt:variant>
        <vt:lpwstr>_Toc109058120</vt:lpwstr>
      </vt:variant>
      <vt:variant>
        <vt:i4>1966140</vt:i4>
      </vt:variant>
      <vt:variant>
        <vt:i4>20</vt:i4>
      </vt:variant>
      <vt:variant>
        <vt:i4>0</vt:i4>
      </vt:variant>
      <vt:variant>
        <vt:i4>5</vt:i4>
      </vt:variant>
      <vt:variant>
        <vt:lpwstr/>
      </vt:variant>
      <vt:variant>
        <vt:lpwstr>_Toc109058119</vt:lpwstr>
      </vt:variant>
      <vt:variant>
        <vt:i4>1966140</vt:i4>
      </vt:variant>
      <vt:variant>
        <vt:i4>14</vt:i4>
      </vt:variant>
      <vt:variant>
        <vt:i4>0</vt:i4>
      </vt:variant>
      <vt:variant>
        <vt:i4>5</vt:i4>
      </vt:variant>
      <vt:variant>
        <vt:lpwstr/>
      </vt:variant>
      <vt:variant>
        <vt:lpwstr>_Toc109058118</vt:lpwstr>
      </vt:variant>
      <vt:variant>
        <vt:i4>1966140</vt:i4>
      </vt:variant>
      <vt:variant>
        <vt:i4>8</vt:i4>
      </vt:variant>
      <vt:variant>
        <vt:i4>0</vt:i4>
      </vt:variant>
      <vt:variant>
        <vt:i4>5</vt:i4>
      </vt:variant>
      <vt:variant>
        <vt:lpwstr/>
      </vt:variant>
      <vt:variant>
        <vt:lpwstr>_Toc109058117</vt:lpwstr>
      </vt:variant>
      <vt:variant>
        <vt:i4>1966140</vt:i4>
      </vt:variant>
      <vt:variant>
        <vt:i4>2</vt:i4>
      </vt:variant>
      <vt:variant>
        <vt:i4>0</vt:i4>
      </vt:variant>
      <vt:variant>
        <vt:i4>5</vt:i4>
      </vt:variant>
      <vt:variant>
        <vt:lpwstr/>
      </vt:variant>
      <vt:variant>
        <vt:lpwstr>_Toc109058116</vt:lpwstr>
      </vt:variant>
      <vt:variant>
        <vt:i4>1507384</vt:i4>
      </vt:variant>
      <vt:variant>
        <vt:i4>0</vt:i4>
      </vt:variant>
      <vt:variant>
        <vt:i4>0</vt:i4>
      </vt:variant>
      <vt:variant>
        <vt:i4>5</vt:i4>
      </vt:variant>
      <vt:variant>
        <vt:lpwstr>https://www.epa.gov/sites/default/files/2018-05/documents/attachment_5-5_dsi_cost_development_methodology.pdf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NPS Technical Feedback for Nevada</dc:title>
  <dc:subject>Regional Haze SIP Development</dc:subject>
  <dc:creator/>
  <cp:keywords>regional, haze, NPS, NDEP, Nevada,</cp:keywords>
  <dc:description/>
  <cp:lastModifiedBy/>
  <cp:revision>1</cp:revision>
  <dcterms:created xsi:type="dcterms:W3CDTF">2022-07-20T21:37:00Z</dcterms:created>
  <dcterms:modified xsi:type="dcterms:W3CDTF">2022-07-20T21:37:00Z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0x01010059093E8F7BF98640A0B476AB00A11CED</vt:lpwstr>
  </property>
  <property fmtid="{D5CDD505-2E9C-101B-9397-08002B2CF9AE}" pid="3" name="Order">
    <vt:r8>1130700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